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A97D3" w14:textId="77777777" w:rsidR="001928A3" w:rsidRDefault="000546C8">
      <w:pPr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F3F31DA" w14:textId="77777777" w:rsidR="001928A3" w:rsidRDefault="001928A3">
      <w:pPr>
        <w:spacing w:after="80" w:line="240" w:lineRule="atLeast"/>
        <w:rPr>
          <w:rStyle w:val="a6"/>
          <w:sz w:val="16"/>
          <w:szCs w:val="16"/>
        </w:rPr>
      </w:pPr>
    </w:p>
    <w:p w14:paraId="56683483" w14:textId="77777777" w:rsidR="001928A3" w:rsidRDefault="000546C8">
      <w:pPr>
        <w:pStyle w:val="3"/>
        <w:spacing w:before="300" w:after="60"/>
        <w:jc w:val="center"/>
      </w:pPr>
      <w:r>
        <w:rPr>
          <w:rStyle w:val="a6"/>
        </w:rPr>
        <w:t>ПРАВИТЕЛЬСТВО   РОССИЙСКОЙ   ФЕДЕРАЦИИ</w:t>
      </w:r>
    </w:p>
    <w:p w14:paraId="76B367E5" w14:textId="77777777" w:rsidR="001928A3" w:rsidRDefault="001928A3">
      <w:pPr>
        <w:pStyle w:val="2"/>
        <w:spacing w:line="180" w:lineRule="exact"/>
        <w:rPr>
          <w:rStyle w:val="a6"/>
          <w:sz w:val="26"/>
          <w:szCs w:val="26"/>
        </w:rPr>
      </w:pPr>
    </w:p>
    <w:p w14:paraId="5BA5A205" w14:textId="77777777" w:rsidR="001928A3" w:rsidRDefault="000546C8">
      <w:pPr>
        <w:pStyle w:val="a7"/>
        <w:spacing w:line="240" w:lineRule="auto"/>
        <w:rPr>
          <w:spacing w:val="-14"/>
          <w:sz w:val="30"/>
          <w:szCs w:val="30"/>
        </w:rPr>
      </w:pPr>
      <w:r>
        <w:rPr>
          <w:spacing w:val="-14"/>
          <w:sz w:val="30"/>
          <w:szCs w:val="30"/>
        </w:rPr>
        <w:t>П О С Т А Н О В Л Е Н И Е</w:t>
      </w:r>
    </w:p>
    <w:p w14:paraId="7C456DF5" w14:textId="77777777" w:rsidR="001928A3" w:rsidRDefault="001928A3">
      <w:pPr>
        <w:pStyle w:val="2"/>
        <w:rPr>
          <w:rStyle w:val="a6"/>
          <w:sz w:val="28"/>
          <w:szCs w:val="28"/>
        </w:rPr>
      </w:pPr>
    </w:p>
    <w:p w14:paraId="0E984F89" w14:textId="77777777" w:rsidR="001928A3" w:rsidRDefault="000546C8">
      <w:pPr>
        <w:pStyle w:val="a8"/>
        <w:spacing w:before="0" w:after="0"/>
      </w:pPr>
      <w:r>
        <w:rPr>
          <w:rStyle w:val="a6"/>
        </w:rPr>
        <w:t xml:space="preserve">от </w:t>
      </w:r>
      <w:bookmarkStart w:id="0" w:name="Дата_подписания_число_"/>
      <w:r>
        <w:rPr>
          <w:rStyle w:val="a6"/>
        </w:rPr>
        <w:t>__</w:t>
      </w:r>
      <w:bookmarkEnd w:id="0"/>
      <w:r>
        <w:rPr>
          <w:rStyle w:val="a6"/>
        </w:rPr>
        <w:t xml:space="preserve"> </w:t>
      </w:r>
      <w:bookmarkStart w:id="1" w:name="Дата_подписания_месяц_"/>
      <w:r>
        <w:rPr>
          <w:rStyle w:val="a6"/>
        </w:rPr>
        <w:t xml:space="preserve">________ </w:t>
      </w:r>
      <w:bookmarkEnd w:id="1"/>
      <w:r>
        <w:rPr>
          <w:rStyle w:val="a6"/>
        </w:rPr>
        <w:t xml:space="preserve"> </w:t>
      </w:r>
      <w:bookmarkStart w:id="2" w:name="Дата_подписания_год_"/>
      <w:r>
        <w:rPr>
          <w:rStyle w:val="a6"/>
        </w:rPr>
        <w:t xml:space="preserve">____ </w:t>
      </w:r>
      <w:bookmarkEnd w:id="2"/>
      <w:r>
        <w:rPr>
          <w:rStyle w:val="a6"/>
        </w:rPr>
        <w:t xml:space="preserve"> г.  № </w:t>
      </w:r>
      <w:bookmarkStart w:id="3" w:name="Регистрационный_номер_"/>
      <w:r>
        <w:rPr>
          <w:rStyle w:val="a6"/>
        </w:rPr>
        <w:t xml:space="preserve">__ </w:t>
      </w:r>
      <w:bookmarkEnd w:id="3"/>
    </w:p>
    <w:p w14:paraId="042FF418" w14:textId="77777777" w:rsidR="001928A3" w:rsidRDefault="001928A3">
      <w:pPr>
        <w:pStyle w:val="1"/>
        <w:spacing w:line="200" w:lineRule="exact"/>
        <w:rPr>
          <w:rStyle w:val="a6"/>
          <w:sz w:val="20"/>
          <w:szCs w:val="20"/>
          <w:lang w:val="ru-RU"/>
        </w:rPr>
      </w:pPr>
    </w:p>
    <w:p w14:paraId="3EB3EE79" w14:textId="77777777" w:rsidR="001928A3" w:rsidRDefault="000546C8">
      <w:pPr>
        <w:pStyle w:val="1"/>
        <w:rPr>
          <w:smallCaps/>
          <w:spacing w:val="14"/>
          <w:sz w:val="20"/>
          <w:szCs w:val="20"/>
          <w:lang w:val="ru-RU"/>
        </w:rPr>
      </w:pPr>
      <w:r>
        <w:rPr>
          <w:smallCaps/>
          <w:spacing w:val="14"/>
          <w:sz w:val="20"/>
          <w:szCs w:val="20"/>
          <w:lang w:val="ru-RU"/>
        </w:rPr>
        <w:t>МОСКВА</w:t>
      </w:r>
    </w:p>
    <w:p w14:paraId="17D062D0" w14:textId="77777777" w:rsidR="001928A3" w:rsidRDefault="001928A3">
      <w:pPr>
        <w:pStyle w:val="1"/>
        <w:spacing w:line="240" w:lineRule="atLeast"/>
        <w:rPr>
          <w:b/>
          <w:bCs/>
          <w:lang w:val="ru-RU"/>
        </w:rPr>
      </w:pPr>
    </w:p>
    <w:p w14:paraId="306B8AA6" w14:textId="77777777" w:rsidR="001928A3" w:rsidRDefault="001928A3">
      <w:pPr>
        <w:pStyle w:val="1"/>
        <w:spacing w:line="240" w:lineRule="atLeast"/>
        <w:rPr>
          <w:b/>
          <w:bCs/>
          <w:lang w:val="ru-RU"/>
        </w:rPr>
      </w:pPr>
    </w:p>
    <w:p w14:paraId="28B2C7EA" w14:textId="77777777" w:rsidR="001928A3" w:rsidRDefault="001928A3">
      <w:pPr>
        <w:pStyle w:val="1"/>
        <w:spacing w:line="200" w:lineRule="exact"/>
        <w:rPr>
          <w:b/>
          <w:bCs/>
          <w:lang w:val="ru-RU"/>
        </w:rPr>
      </w:pPr>
    </w:p>
    <w:p w14:paraId="6DAC2C07" w14:textId="77777777" w:rsidR="001928A3" w:rsidRDefault="000546C8">
      <w:pPr>
        <w:widowControl/>
        <w:spacing w:after="360" w:line="240" w:lineRule="atLeast"/>
        <w:jc w:val="center"/>
        <w:rPr>
          <w:rStyle w:val="a6"/>
        </w:rPr>
      </w:pPr>
      <w:bookmarkStart w:id="4" w:name="Заголовок_"/>
      <w:r>
        <w:rPr>
          <w:b/>
          <w:bCs/>
          <w:sz w:val="28"/>
          <w:szCs w:val="28"/>
        </w:rPr>
        <w:t xml:space="preserve">О внесении изменений в некоторые акты </w:t>
      </w:r>
      <w:r>
        <w:rPr>
          <w:b/>
          <w:bCs/>
          <w:sz w:val="28"/>
          <w:szCs w:val="28"/>
        </w:rPr>
        <w:br/>
        <w:t xml:space="preserve">Правительства Российской Федерации </w:t>
      </w:r>
      <w:r>
        <w:rPr>
          <w:b/>
          <w:bCs/>
          <w:sz w:val="28"/>
          <w:szCs w:val="28"/>
        </w:rPr>
        <w:br/>
        <w:t xml:space="preserve">по вопросам утверждения инвестиционных </w:t>
      </w:r>
      <w:r>
        <w:rPr>
          <w:b/>
          <w:bCs/>
          <w:sz w:val="28"/>
          <w:szCs w:val="28"/>
        </w:rPr>
        <w:br/>
        <w:t>программ субъектов электроэнергетики</w:t>
      </w:r>
      <w:bookmarkEnd w:id="4"/>
    </w:p>
    <w:p w14:paraId="01220873" w14:textId="77777777" w:rsidR="001928A3" w:rsidRDefault="001928A3">
      <w:pPr>
        <w:widowControl/>
        <w:spacing w:after="360" w:line="240" w:lineRule="atLeast"/>
        <w:jc w:val="center"/>
        <w:rPr>
          <w:rStyle w:val="a6"/>
        </w:rPr>
      </w:pPr>
    </w:p>
    <w:p w14:paraId="11AAD9A7" w14:textId="77777777" w:rsidR="001928A3" w:rsidRDefault="000546C8">
      <w:pPr>
        <w:widowControl/>
        <w:spacing w:after="360" w:line="240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Правительство Российской Федерации </w:t>
      </w:r>
      <w:r>
        <w:rPr>
          <w:b/>
          <w:bCs/>
          <w:sz w:val="28"/>
          <w:szCs w:val="28"/>
        </w:rPr>
        <w:t>п о с т а н о в л я е т :</w:t>
      </w:r>
    </w:p>
    <w:p w14:paraId="626CA625" w14:textId="77777777" w:rsidR="001928A3" w:rsidRDefault="000546C8">
      <w:pPr>
        <w:widowControl/>
        <w:numPr>
          <w:ilvl w:val="0"/>
          <w:numId w:val="2"/>
        </w:num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в акты Правительства Российской Федерации по вопросам утверждения инвестиционных программ субъектов электроэнергетики.</w:t>
      </w:r>
    </w:p>
    <w:p w14:paraId="7D2ED3E9" w14:textId="77777777" w:rsidR="001928A3" w:rsidRDefault="000546C8">
      <w:pPr>
        <w:widowControl/>
        <w:numPr>
          <w:ilvl w:val="0"/>
          <w:numId w:val="2"/>
        </w:num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постановления вступает в силу с 1 января 2025 года.</w:t>
      </w:r>
    </w:p>
    <w:p w14:paraId="08847A8C" w14:textId="77777777" w:rsidR="001928A3" w:rsidRDefault="001928A3">
      <w:pPr>
        <w:widowControl/>
        <w:spacing w:line="360" w:lineRule="atLeast"/>
        <w:ind w:firstLine="709"/>
        <w:jc w:val="both"/>
        <w:rPr>
          <w:rStyle w:val="a6"/>
          <w:sz w:val="28"/>
          <w:szCs w:val="28"/>
        </w:rPr>
      </w:pPr>
    </w:p>
    <w:p w14:paraId="5D5E0BB9" w14:textId="77777777" w:rsidR="001928A3" w:rsidRDefault="001928A3">
      <w:pPr>
        <w:widowControl/>
        <w:tabs>
          <w:tab w:val="center" w:pos="1758"/>
        </w:tabs>
        <w:spacing w:line="360" w:lineRule="atLeast"/>
        <w:rPr>
          <w:rStyle w:val="a6"/>
        </w:rPr>
        <w:sectPr w:rsidR="001928A3">
          <w:footerReference w:type="even" r:id="rId7"/>
          <w:pgSz w:w="11900" w:h="16840"/>
          <w:pgMar w:top="1418" w:right="1418" w:bottom="1418" w:left="1418" w:header="709" w:footer="709" w:gutter="0"/>
          <w:cols w:space="720"/>
        </w:sectPr>
      </w:pPr>
    </w:p>
    <w:p w14:paraId="7BF4A141" w14:textId="77777777" w:rsidR="001928A3" w:rsidRDefault="001928A3">
      <w:pPr>
        <w:widowControl/>
        <w:tabs>
          <w:tab w:val="center" w:pos="1758"/>
        </w:tabs>
        <w:spacing w:line="360" w:lineRule="atLeast"/>
        <w:rPr>
          <w:rStyle w:val="a6"/>
          <w:sz w:val="28"/>
          <w:szCs w:val="28"/>
        </w:rPr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1"/>
        <w:gridCol w:w="2840"/>
        <w:gridCol w:w="2713"/>
      </w:tblGrid>
      <w:tr w:rsidR="001928A3" w14:paraId="64D9C237" w14:textId="77777777">
        <w:trPr>
          <w:trHeight w:val="94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2DC6" w14:textId="77777777" w:rsidR="001928A3" w:rsidRDefault="000546C8">
            <w:pPr>
              <w:keepNext/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14:paraId="5D780C2C" w14:textId="77777777" w:rsidR="001928A3" w:rsidRDefault="000546C8">
            <w:pPr>
              <w:keepNext/>
              <w:widowControl/>
              <w:spacing w:line="240" w:lineRule="atLeast"/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EEF1" w14:textId="77777777" w:rsidR="001928A3" w:rsidRDefault="000546C8">
            <w:pPr>
              <w:keepNext/>
              <w:widowControl/>
              <w:spacing w:line="240" w:lineRule="atLeast"/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bottom"/>
          </w:tcPr>
          <w:p w14:paraId="51167029" w14:textId="77777777" w:rsidR="001928A3" w:rsidRDefault="000546C8">
            <w:pPr>
              <w:keepNext/>
              <w:widowControl/>
              <w:spacing w:line="240" w:lineRule="atLeast"/>
              <w:ind w:right="89"/>
              <w:jc w:val="right"/>
            </w:pPr>
            <w:r>
              <w:rPr>
                <w:sz w:val="28"/>
                <w:szCs w:val="28"/>
              </w:rPr>
              <w:t>М. Мишустин</w:t>
            </w:r>
          </w:p>
        </w:tc>
      </w:tr>
    </w:tbl>
    <w:p w14:paraId="10FC9259" w14:textId="77777777" w:rsidR="001928A3" w:rsidRDefault="001928A3">
      <w:pPr>
        <w:tabs>
          <w:tab w:val="center" w:pos="1758"/>
        </w:tabs>
        <w:rPr>
          <w:rStyle w:val="a6"/>
          <w:sz w:val="28"/>
          <w:szCs w:val="28"/>
        </w:rPr>
      </w:pPr>
    </w:p>
    <w:p w14:paraId="4487160E" w14:textId="77777777" w:rsidR="001928A3" w:rsidRDefault="001928A3">
      <w:pPr>
        <w:keepNext/>
        <w:widowControl/>
        <w:spacing w:line="240" w:lineRule="atLeast"/>
        <w:jc w:val="center"/>
        <w:sectPr w:rsidR="001928A3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p w14:paraId="0D65F9FF" w14:textId="77777777" w:rsidR="001928A3" w:rsidRDefault="001928A3">
      <w:pPr>
        <w:spacing w:line="240" w:lineRule="atLeast"/>
        <w:jc w:val="both"/>
        <w:rPr>
          <w:rStyle w:val="a6"/>
          <w:sz w:val="28"/>
          <w:szCs w:val="28"/>
        </w:rPr>
      </w:pPr>
    </w:p>
    <w:p w14:paraId="1C345620" w14:textId="77777777" w:rsidR="001928A3" w:rsidRDefault="000546C8">
      <w:pPr>
        <w:spacing w:line="360" w:lineRule="atLeast"/>
        <w:ind w:left="499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1ED8BCBA" w14:textId="77777777" w:rsidR="001928A3" w:rsidRDefault="000546C8">
      <w:pPr>
        <w:spacing w:line="360" w:lineRule="atLeast"/>
        <w:ind w:left="499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7BCD00C3" w14:textId="77777777" w:rsidR="001928A3" w:rsidRDefault="000546C8">
      <w:pPr>
        <w:spacing w:line="240" w:lineRule="atLeast"/>
        <w:ind w:left="499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02A326D7" w14:textId="77777777" w:rsidR="001928A3" w:rsidRDefault="000546C8">
      <w:pPr>
        <w:spacing w:line="240" w:lineRule="atLeast"/>
        <w:ind w:left="4990"/>
        <w:rPr>
          <w:sz w:val="28"/>
          <w:szCs w:val="28"/>
        </w:rPr>
      </w:pPr>
      <w:r>
        <w:rPr>
          <w:sz w:val="28"/>
          <w:szCs w:val="28"/>
        </w:rPr>
        <w:t>от                        2024 г. №</w:t>
      </w:r>
      <w:r>
        <w:rPr>
          <w:sz w:val="28"/>
          <w:szCs w:val="28"/>
        </w:rPr>
        <w:tab/>
      </w:r>
    </w:p>
    <w:p w14:paraId="4815AC18" w14:textId="77777777" w:rsidR="001928A3" w:rsidRDefault="001928A3">
      <w:pPr>
        <w:spacing w:line="240" w:lineRule="exact"/>
        <w:jc w:val="both"/>
        <w:rPr>
          <w:rStyle w:val="a6"/>
          <w:sz w:val="28"/>
          <w:szCs w:val="28"/>
        </w:rPr>
      </w:pPr>
    </w:p>
    <w:p w14:paraId="0277F216" w14:textId="77777777" w:rsidR="001928A3" w:rsidRDefault="001928A3">
      <w:pPr>
        <w:spacing w:line="240" w:lineRule="exact"/>
        <w:jc w:val="both"/>
        <w:rPr>
          <w:rStyle w:val="a6"/>
          <w:sz w:val="28"/>
          <w:szCs w:val="28"/>
        </w:rPr>
      </w:pPr>
    </w:p>
    <w:p w14:paraId="4E8EE68C" w14:textId="77777777" w:rsidR="001928A3" w:rsidRDefault="001928A3">
      <w:pPr>
        <w:spacing w:line="240" w:lineRule="exact"/>
        <w:jc w:val="both"/>
        <w:rPr>
          <w:rStyle w:val="a6"/>
          <w:sz w:val="28"/>
          <w:szCs w:val="28"/>
        </w:rPr>
      </w:pPr>
    </w:p>
    <w:p w14:paraId="5B2F574F" w14:textId="77777777" w:rsidR="001928A3" w:rsidRDefault="001928A3">
      <w:pPr>
        <w:spacing w:line="240" w:lineRule="exact"/>
        <w:jc w:val="both"/>
        <w:rPr>
          <w:rStyle w:val="a6"/>
          <w:sz w:val="28"/>
          <w:szCs w:val="28"/>
        </w:rPr>
      </w:pPr>
    </w:p>
    <w:p w14:paraId="4235695C" w14:textId="77777777" w:rsidR="001928A3" w:rsidRDefault="001928A3">
      <w:pPr>
        <w:spacing w:line="240" w:lineRule="exact"/>
        <w:jc w:val="both"/>
        <w:rPr>
          <w:rStyle w:val="a6"/>
          <w:sz w:val="28"/>
          <w:szCs w:val="28"/>
        </w:rPr>
      </w:pPr>
    </w:p>
    <w:p w14:paraId="1617CB56" w14:textId="77777777" w:rsidR="001928A3" w:rsidRDefault="001928A3">
      <w:pPr>
        <w:spacing w:line="200" w:lineRule="exact"/>
        <w:jc w:val="both"/>
        <w:rPr>
          <w:rStyle w:val="a6"/>
          <w:sz w:val="28"/>
          <w:szCs w:val="28"/>
        </w:rPr>
      </w:pPr>
    </w:p>
    <w:p w14:paraId="29E05EB6" w14:textId="77777777" w:rsidR="001928A3" w:rsidRDefault="000546C8">
      <w:pPr>
        <w:widowControl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 М Е Н Е Н И Я,</w:t>
      </w:r>
    </w:p>
    <w:p w14:paraId="1F9E3600" w14:textId="77777777" w:rsidR="001928A3" w:rsidRDefault="001928A3">
      <w:pPr>
        <w:widowControl/>
        <w:spacing w:line="120" w:lineRule="exact"/>
        <w:jc w:val="center"/>
        <w:rPr>
          <w:b/>
          <w:bCs/>
          <w:sz w:val="28"/>
          <w:szCs w:val="28"/>
        </w:rPr>
      </w:pPr>
    </w:p>
    <w:p w14:paraId="138A553A" w14:textId="77777777" w:rsidR="001928A3" w:rsidRDefault="000546C8">
      <w:pPr>
        <w:widowControl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акты Правительства Российской Федерации</w:t>
      </w:r>
    </w:p>
    <w:p w14:paraId="3CF44087" w14:textId="77777777" w:rsidR="001928A3" w:rsidRDefault="000546C8">
      <w:pPr>
        <w:widowControl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утверждения инвестиционных программ </w:t>
      </w:r>
      <w:r>
        <w:rPr>
          <w:b/>
          <w:bCs/>
          <w:sz w:val="28"/>
          <w:szCs w:val="28"/>
        </w:rPr>
        <w:br/>
        <w:t>субъектов электроэнергетики</w:t>
      </w:r>
    </w:p>
    <w:p w14:paraId="015C4633" w14:textId="77777777" w:rsidR="001928A3" w:rsidRDefault="001928A3">
      <w:pPr>
        <w:widowControl/>
        <w:spacing w:line="360" w:lineRule="atLeast"/>
        <w:jc w:val="center"/>
        <w:rPr>
          <w:rStyle w:val="a6"/>
          <w:sz w:val="28"/>
          <w:szCs w:val="28"/>
        </w:rPr>
      </w:pPr>
    </w:p>
    <w:p w14:paraId="4BFDCD1F" w14:textId="77777777" w:rsidR="001928A3" w:rsidRDefault="001928A3">
      <w:pPr>
        <w:widowControl/>
        <w:spacing w:line="360" w:lineRule="atLeast"/>
        <w:jc w:val="center"/>
        <w:rPr>
          <w:rStyle w:val="a6"/>
          <w:sz w:val="28"/>
          <w:szCs w:val="28"/>
        </w:rPr>
      </w:pPr>
    </w:p>
    <w:p w14:paraId="62B2F9C0" w14:textId="77777777" w:rsidR="001928A3" w:rsidRDefault="000546C8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bookmarkStart w:id="5" w:name="_Ref113220295"/>
      <w:r>
        <w:rPr>
          <w:sz w:val="28"/>
          <w:szCs w:val="28"/>
        </w:rPr>
        <w:t>1. В постановлении Правительства Российской Федерации от 1 декабря 2009 г. № 977 «Об инвестиционных программах субъектов электроэнергетики» (Собрание законодательства Российской Федерации, 2009, № 49, ст. 5978; 2015, № 8, ст. 1175; 2023, № 24, ст. 4324):</w:t>
      </w:r>
      <w:bookmarkEnd w:id="5"/>
    </w:p>
    <w:p w14:paraId="072417BD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критериях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власти, или уполномоченным федеральным органом исполнительной власти совместно с Государственной корпорацией по атомной энергии «Росатом», или органами исполнительной власти субъектов Российской Федерации, утвержденных указанным постановлением:</w:t>
      </w:r>
    </w:p>
    <w:p w14:paraId="0EAF7119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1: </w:t>
      </w:r>
    </w:p>
    <w:p w14:paraId="7B9291D6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«б» изложить в следующей редакции: </w:t>
      </w:r>
    </w:p>
    <w:p w14:paraId="40F1C311" w14:textId="13F21BB3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 системообразующие территориальные сетевые организации</w:t>
      </w:r>
      <w:r w:rsidR="00EC03C5" w:rsidRPr="00EC03C5">
        <w:rPr>
          <w:sz w:val="28"/>
          <w:szCs w:val="28"/>
        </w:rPr>
        <w:t xml:space="preserve"> </w:t>
      </w:r>
      <w:r w:rsidR="00EC03C5" w:rsidRPr="001E40D3">
        <w:rPr>
          <w:sz w:val="28"/>
          <w:szCs w:val="28"/>
        </w:rPr>
        <w:t>за исключением организации, функционирующей на территории города Москвы и в уставном капитале которой доля участия субъекта Российской Федерации составляет не менее 50 процентов плюс одна голосующая акция</w:t>
      </w:r>
      <w:r w:rsidRPr="001E40D3">
        <w:rPr>
          <w:sz w:val="28"/>
          <w:szCs w:val="28"/>
        </w:rPr>
        <w:t>;»</w:t>
      </w:r>
    </w:p>
    <w:p w14:paraId="15D5347A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«д» изложить в следующей редакции:</w:t>
      </w:r>
    </w:p>
    <w:p w14:paraId="2F4AE2DF" w14:textId="62F2FF96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«д) субъекты электроэнергетики, осуществлявшие до </w:t>
      </w:r>
      <w:r w:rsidR="00A32D0C">
        <w:rPr>
          <w:sz w:val="28"/>
          <w:szCs w:val="28"/>
        </w:rPr>
        <w:t xml:space="preserve">31 декабря 2023 </w:t>
      </w:r>
      <w:r>
        <w:rPr>
          <w:sz w:val="28"/>
          <w:szCs w:val="28"/>
        </w:rPr>
        <w:t>г.</w:t>
      </w:r>
      <w:r w:rsidR="00A20BCC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 функции по оперативно-диспетчерскому управлению в технологически изолированных территориальных электроэнергетических </w:t>
      </w:r>
      <w:r>
        <w:rPr>
          <w:sz w:val="28"/>
          <w:szCs w:val="28"/>
        </w:rPr>
        <w:lastRenderedPageBreak/>
        <w:t xml:space="preserve">системах, если прямое или косвенное владение долей в уставном капитале таких субъектов в размере не менее 20 процентов плюс одна голосующая акция осуществляет оптовая гидрогенерирующая компания;»; </w:t>
      </w:r>
    </w:p>
    <w:p w14:paraId="66EE417A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Правилах утверждения инвестиционных программ субъектов электроэнергетики, утвержденных указанным постановлением:</w:t>
      </w:r>
    </w:p>
    <w:p w14:paraId="5D52D590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9:</w:t>
      </w:r>
    </w:p>
    <w:p w14:paraId="4DD7D2E6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«далее - договор об осуществлении технологического присоединения» заменить словами «далее соответственно - договор об осуществлении технологического присоединения, Правила технологического присоединения»;</w:t>
      </w:r>
    </w:p>
    <w:p w14:paraId="6BC2965F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14:paraId="230FAC08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«строительство, реконструкцию, модернизацию и (или) техническое перевооружение линий электропередачи и (или) подстанций, указанных в абзаце первом настоящего пункта, предусмотренные подписанными сетевой организацией индивидуальными техническими условиями (в случае, если индивидуальные технические условия в соответствии с Правилами технологического присоединения подлежат согласованию с системным оператором </w:t>
      </w:r>
      <w:bookmarkStart w:id="6" w:name="_Hlk169280738"/>
      <w:r>
        <w:rPr>
          <w:sz w:val="28"/>
          <w:szCs w:val="28"/>
        </w:rPr>
        <w:t>электроэнергетических систем России (далее - системный оператор)</w:t>
      </w:r>
      <w:bookmarkEnd w:id="6"/>
      <w:r>
        <w:rPr>
          <w:sz w:val="28"/>
          <w:szCs w:val="28"/>
        </w:rPr>
        <w:t>, - индивидуальными техническими условиями, согласованными с системным оператором), которые разработаны сетевой организацией в рамках исполнения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проекту, заключенного в соответствии с Правилами технологического присоединения, если не заключен договор об осуществлении технологического присоединения, неотъемлемым приложением к которому являются такие индивидуальные технические условия;</w:t>
      </w:r>
    </w:p>
    <w:p w14:paraId="2B476994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реконструкцию, модернизацию и (или) техническое перевооружение линий электропередачи и (или) подстанций, указанных в абзаце первом настоящего пункта, если реализация таких инвестиционных проектов предусмотрена инвестиционной программой, утвержденной в соответствии с настоящими Правилами, и субъектом электроэнергетики до наступления года, в котором субъектом электроэнергетики в соответствии со стандартами раскрытия информации раскрывается информация о проекте инвестиционной программы и об обосновывающих ее материалах, указанная в пунктах 15 и 32 настоящих Правил, проведено успешное комплексное опробование таких линий электропередачи и (или) основного </w:t>
      </w:r>
      <w:r>
        <w:rPr>
          <w:sz w:val="28"/>
          <w:szCs w:val="28"/>
        </w:rPr>
        <w:lastRenderedPageBreak/>
        <w:t>электротехнического оборудования подстанций и оформлен акт о его результатах в соответствии с правилами технической эксплуатации электрических станций и сетей Российской Федерации, утвержденными Министерством энергетики Российской Федерации.</w:t>
      </w:r>
    </w:p>
    <w:p w14:paraId="6DAA0EDB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инвестиционным проектам, указанным в абзаце втором настоящего пункта, не относятся инвестиционные проекты, предусматривающие мероприятия по строительству (установке), реконструкции (модернизации, техническому перевооружению) объектов по производству электрической энергии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системами.»;</w:t>
      </w:r>
    </w:p>
    <w:p w14:paraId="3008DB53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10 изложить в следующей редакции:</w:t>
      </w:r>
    </w:p>
    <w:p w14:paraId="5ED2CB0E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Проекты инвестиционных программ, предусматривающие мероприятия по строительству гидроэлектростанций и (или) гидроаккумулирующих электрических станций, установленной электрической мощностью каждой гидроэлектростанции и (или) гидроаккумулирующей электрической станции 100 мегаватт и выше, мероприятия по строительству энергоблоков атомных электростанций и (или) мероприятия по реконструкции (модернизации, техническому перевооружению) энергоблоков атомных электростанций, объектов по производству электрической энергии гидроэлектростанций и (или) гидроаккумулирующих электрических станций, связанной с увеличением установленной электрической мощности атомной электростанции, гидроэлектростанции и (или) гидроаккумулирующей электрической станции на 100 мегаватт и выше, утверждаются при одновременном соблюдении следующих условий:»;</w:t>
      </w:r>
    </w:p>
    <w:p w14:paraId="57C4B200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«е» пункта 16:</w:t>
      </w:r>
    </w:p>
    <w:p w14:paraId="2FED82A4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14:paraId="45B9A2D9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«е) системный оператор, если:»;</w:t>
      </w:r>
    </w:p>
    <w:p w14:paraId="7DA92D6E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признать утратившим силу;</w:t>
      </w:r>
    </w:p>
    <w:p w14:paraId="5E40C38E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«и» пункта 19 изложить в следующей редакции:</w:t>
      </w:r>
    </w:p>
    <w:p w14:paraId="759AFC51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«соответствия проекта инвестиционной программы условиям, указанным в пункте 9 настоящих Правил;»;</w:t>
      </w:r>
    </w:p>
    <w:p w14:paraId="55CEB88B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33:</w:t>
      </w:r>
    </w:p>
    <w:p w14:paraId="768A95C4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«б» признать утратившим силу;</w:t>
      </w:r>
    </w:p>
    <w:p w14:paraId="3DA08846" w14:textId="018E0366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293906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293906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14:paraId="5298B9E0" w14:textId="1F43FAEE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«в) системообразующая территориальная сетевая организация, определенная на территории субъекта Российской Федерации, если субъект электроэнергетики является территориальной сетевой организацией</w:t>
      </w:r>
      <w:r w:rsidR="00AC56D9">
        <w:rPr>
          <w:sz w:val="28"/>
          <w:szCs w:val="28"/>
        </w:rPr>
        <w:t xml:space="preserve">, за исключением случаев, когда </w:t>
      </w:r>
      <w:r w:rsidR="00E03EF1">
        <w:rPr>
          <w:sz w:val="28"/>
          <w:szCs w:val="28"/>
        </w:rPr>
        <w:t xml:space="preserve">в </w:t>
      </w:r>
      <w:r w:rsidR="00E03EF1" w:rsidRPr="00E03EF1">
        <w:rPr>
          <w:sz w:val="28"/>
          <w:szCs w:val="28"/>
        </w:rPr>
        <w:t xml:space="preserve">отношении </w:t>
      </w:r>
      <w:r w:rsidR="00E03EF1">
        <w:rPr>
          <w:sz w:val="28"/>
          <w:szCs w:val="28"/>
        </w:rPr>
        <w:t>территориальной сетевой организации</w:t>
      </w:r>
      <w:r w:rsidR="00E03EF1" w:rsidRPr="00E03EF1">
        <w:rPr>
          <w:sz w:val="28"/>
          <w:szCs w:val="28"/>
        </w:rPr>
        <w:t xml:space="preserve"> Правительством Российской Федерации по состоянию на</w:t>
      </w:r>
      <w:r w:rsidR="00337854">
        <w:rPr>
          <w:sz w:val="28"/>
          <w:szCs w:val="28"/>
        </w:rPr>
        <w:t> </w:t>
      </w:r>
      <w:r w:rsidR="00E03EF1" w:rsidRPr="00E03EF1">
        <w:rPr>
          <w:sz w:val="28"/>
          <w:szCs w:val="28"/>
        </w:rPr>
        <w:t>1</w:t>
      </w:r>
      <w:r w:rsidR="00337854">
        <w:rPr>
          <w:sz w:val="28"/>
          <w:szCs w:val="28"/>
        </w:rPr>
        <w:t> </w:t>
      </w:r>
      <w:r w:rsidR="00E03EF1" w:rsidRPr="00E03EF1">
        <w:rPr>
          <w:sz w:val="28"/>
          <w:szCs w:val="28"/>
        </w:rPr>
        <w:t xml:space="preserve">января 2024 года определены особенности регулирования отношений по оказанию услуг по передаче электрической энергии и (или) в отношении </w:t>
      </w:r>
      <w:r w:rsidR="004A6F64" w:rsidRPr="001E40D3">
        <w:rPr>
          <w:sz w:val="28"/>
          <w:szCs w:val="28"/>
        </w:rPr>
        <w:t>такой организации</w:t>
      </w:r>
      <w:r w:rsidR="004A6F64" w:rsidRPr="00E03EF1">
        <w:rPr>
          <w:sz w:val="28"/>
          <w:szCs w:val="28"/>
        </w:rPr>
        <w:t xml:space="preserve"> </w:t>
      </w:r>
      <w:r w:rsidR="00E03EF1" w:rsidRPr="00E03EF1">
        <w:rPr>
          <w:sz w:val="28"/>
          <w:szCs w:val="28"/>
        </w:rPr>
        <w:t>предусмотрены особенности по заключению договоров о порядке использования объектов электросетевого хозяйства</w:t>
      </w:r>
      <w:r w:rsidR="0055327A">
        <w:rPr>
          <w:sz w:val="28"/>
          <w:szCs w:val="28"/>
        </w:rPr>
        <w:t xml:space="preserve"> в соотве</w:t>
      </w:r>
      <w:r w:rsidR="004A6F64">
        <w:rPr>
          <w:sz w:val="28"/>
          <w:szCs w:val="28"/>
        </w:rPr>
        <w:t>т</w:t>
      </w:r>
      <w:r w:rsidR="0055327A">
        <w:rPr>
          <w:sz w:val="28"/>
          <w:szCs w:val="28"/>
        </w:rPr>
        <w:t xml:space="preserve">ствии с пунктом 3 </w:t>
      </w:r>
      <w:r w:rsidR="0055327A" w:rsidRPr="0055327A">
        <w:rPr>
          <w:sz w:val="28"/>
          <w:szCs w:val="28"/>
        </w:rPr>
        <w:t>Правил заключения, исполнения, изменения, расторжения, существенные условия договора (соглашения)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хозяйства, а также об использовании таких объектов, в случаях несоответствия их владельца критериям отнесения к территориальным сетевым организациям, для оказания услуг по передаче электрической энергии или технологического присоединения энергопринимающих устройств или объектов электроэнергетики</w:t>
      </w:r>
      <w:r w:rsidR="0055327A">
        <w:rPr>
          <w:sz w:val="28"/>
          <w:szCs w:val="28"/>
        </w:rPr>
        <w:t xml:space="preserve">, утвержденных постановлением Правительства </w:t>
      </w:r>
      <w:r w:rsidR="0055327A" w:rsidRPr="00E62EAE">
        <w:rPr>
          <w:sz w:val="28"/>
          <w:szCs w:val="28"/>
        </w:rPr>
        <w:t>Российской Федерации</w:t>
      </w:r>
      <w:r w:rsidR="0055327A">
        <w:rPr>
          <w:sz w:val="28"/>
          <w:szCs w:val="28"/>
        </w:rPr>
        <w:t xml:space="preserve"> от __.09.2024 № ___</w:t>
      </w:r>
      <w:r w:rsidR="002E69B5">
        <w:rPr>
          <w:sz w:val="28"/>
          <w:szCs w:val="28"/>
        </w:rPr>
        <w:t xml:space="preserve">, в том числе, если </w:t>
      </w:r>
      <w:r w:rsidR="00E62EAE">
        <w:rPr>
          <w:sz w:val="28"/>
          <w:szCs w:val="28"/>
        </w:rPr>
        <w:t xml:space="preserve">территориальная сетевая организация соответствует </w:t>
      </w:r>
      <w:r w:rsidR="00E62EAE" w:rsidRPr="00E62EAE">
        <w:rPr>
          <w:sz w:val="28"/>
          <w:szCs w:val="28"/>
        </w:rPr>
        <w:t>критериям отнесения к сетевым организациям, обслуживающим преимущественно одного потребителя, установленным Правительством Российской Федерации в области регулируемых цен (тарифов) в электроэнергетике;</w:t>
      </w:r>
      <w:r>
        <w:rPr>
          <w:sz w:val="28"/>
          <w:szCs w:val="28"/>
        </w:rPr>
        <w:t>»;</w:t>
      </w:r>
    </w:p>
    <w:p w14:paraId="481F950D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36:</w:t>
      </w:r>
    </w:p>
    <w:p w14:paraId="7EA5E2EB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«е» изложить в следующей редакции:</w:t>
      </w:r>
    </w:p>
    <w:p w14:paraId="3CFF5159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«соответствия проекта инвестиционной программы условиям, указанным в пункте 9 настоящих Правил;»;</w:t>
      </w:r>
    </w:p>
    <w:p w14:paraId="29E0A677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«ж» изложить в следующей редакции:</w:t>
      </w:r>
    </w:p>
    <w:p w14:paraId="2A5EE29F" w14:textId="0DFE4359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«ж) системообразующая территориальная сетевая организация – в части оценки достаточности, необходимости и своевременности реализации мероприятий, влияющих на надежность энергоснабжения потребителей и реализуемых на объектах электросетевого хозяйства, не относящихся к единой национальной (общероссийской) электрической сети, в целях обеспечения надежности и безопасности электроэнергетических систем, объектов электроэнергетики и энергопринимающих установок</w:t>
      </w:r>
      <w:r w:rsidR="00CE5D98">
        <w:rPr>
          <w:sz w:val="28"/>
          <w:szCs w:val="28"/>
        </w:rPr>
        <w:t>. Под «доста</w:t>
      </w:r>
      <w:r w:rsidR="00215F5C">
        <w:rPr>
          <w:sz w:val="28"/>
          <w:szCs w:val="28"/>
        </w:rPr>
        <w:t>т</w:t>
      </w:r>
      <w:r w:rsidR="00CE5D98">
        <w:rPr>
          <w:sz w:val="28"/>
          <w:szCs w:val="28"/>
        </w:rPr>
        <w:t xml:space="preserve">очностью» для целей применения настоящего пункта понимается </w:t>
      </w:r>
      <w:r w:rsidR="00CE5D98" w:rsidRPr="00CE5D98">
        <w:rPr>
          <w:sz w:val="28"/>
          <w:szCs w:val="28"/>
        </w:rPr>
        <w:lastRenderedPageBreak/>
        <w:t>обоснованност</w:t>
      </w:r>
      <w:r w:rsidR="00CE5D98">
        <w:rPr>
          <w:sz w:val="28"/>
          <w:szCs w:val="28"/>
        </w:rPr>
        <w:t>ь</w:t>
      </w:r>
      <w:r w:rsidR="00CE5D98" w:rsidRPr="00CE5D98">
        <w:rPr>
          <w:sz w:val="28"/>
          <w:szCs w:val="28"/>
        </w:rPr>
        <w:t xml:space="preserve"> применения </w:t>
      </w:r>
      <w:r w:rsidR="00CE5D98">
        <w:rPr>
          <w:sz w:val="28"/>
          <w:szCs w:val="28"/>
        </w:rPr>
        <w:t>технически</w:t>
      </w:r>
      <w:r w:rsidR="007A3030">
        <w:rPr>
          <w:sz w:val="28"/>
          <w:szCs w:val="28"/>
        </w:rPr>
        <w:t>х</w:t>
      </w:r>
      <w:r w:rsidR="00CE5D98">
        <w:rPr>
          <w:sz w:val="28"/>
          <w:szCs w:val="28"/>
        </w:rPr>
        <w:t xml:space="preserve"> и </w:t>
      </w:r>
      <w:r w:rsidR="00CE5D98" w:rsidRPr="00CE5D98">
        <w:rPr>
          <w:sz w:val="28"/>
          <w:szCs w:val="28"/>
        </w:rPr>
        <w:t>технологических решений</w:t>
      </w:r>
      <w:r w:rsidR="00CE5D98">
        <w:rPr>
          <w:sz w:val="28"/>
          <w:szCs w:val="28"/>
        </w:rPr>
        <w:t xml:space="preserve"> в соот</w:t>
      </w:r>
      <w:r w:rsidR="007A3030">
        <w:rPr>
          <w:sz w:val="28"/>
          <w:szCs w:val="28"/>
        </w:rPr>
        <w:t xml:space="preserve">ветствии с </w:t>
      </w:r>
      <w:r w:rsidR="007A3030" w:rsidRPr="007A3030">
        <w:rPr>
          <w:sz w:val="28"/>
          <w:szCs w:val="28"/>
        </w:rPr>
        <w:t>требования</w:t>
      </w:r>
      <w:r w:rsidR="007A3030">
        <w:rPr>
          <w:sz w:val="28"/>
          <w:szCs w:val="28"/>
        </w:rPr>
        <w:t>ми</w:t>
      </w:r>
      <w:r w:rsidR="007A3030" w:rsidRPr="007A3030">
        <w:rPr>
          <w:sz w:val="28"/>
          <w:szCs w:val="28"/>
        </w:rPr>
        <w:t xml:space="preserve"> к обеспечению надежности электроэнергетических систем, надежности и безопасности объектов электроэнергетики и энергопринимающих установок</w:t>
      </w:r>
      <w:r>
        <w:rPr>
          <w:sz w:val="28"/>
          <w:szCs w:val="28"/>
        </w:rPr>
        <w:t>;»;</w:t>
      </w:r>
    </w:p>
    <w:p w14:paraId="1528BADE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40:</w:t>
      </w:r>
    </w:p>
    <w:p w14:paraId="5695869A" w14:textId="77777777" w:rsidR="001928A3" w:rsidRDefault="000546C8">
      <w:pPr>
        <w:tabs>
          <w:tab w:val="left" w:pos="1276"/>
          <w:tab w:val="left" w:pos="226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«субъекта оперативно-диспетчерского управления, указанного» заменить словами «системообразующей территориальной сетевой организации, указанной», слова «субъекта оперативно-диспетчерского управления, представивших» заменить словами «системообразующей территориальной сетевой организации, представивших»;</w:t>
      </w:r>
    </w:p>
    <w:p w14:paraId="4159A560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«субъекта оперативно-диспетчерского управления» заменить словами «системообразующей территориальной сетевой организации»;</w:t>
      </w:r>
    </w:p>
    <w:p w14:paraId="272A2F24" w14:textId="77777777" w:rsidR="001928A3" w:rsidRDefault="000546C8">
      <w:pPr>
        <w:pStyle w:val="a9"/>
        <w:tabs>
          <w:tab w:val="left" w:pos="1276"/>
          <w:tab w:val="left" w:pos="2268"/>
        </w:tabs>
        <w:spacing w:line="400" w:lineRule="exact"/>
        <w:ind w:left="777" w:right="22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14:paraId="185F34B3" w14:textId="610CD2BF" w:rsidR="001928A3" w:rsidRDefault="000546C8">
      <w:pPr>
        <w:tabs>
          <w:tab w:val="left" w:pos="1276"/>
          <w:tab w:val="left" w:pos="2268"/>
        </w:tabs>
        <w:spacing w:line="400" w:lineRule="exact"/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При наличии неурегулированных замечаний, предложений и (или) разногласий в части мероприятий проекта инвестиционной программы по объектам электросетевого хозяйства классом напряжения 35 кВ и выше, возникающих между системообразующими территориальными сетевыми организациями, территориальными сетевыми организациями и органами исполнительной власти субъекта Российской Федерации</w:t>
      </w:r>
      <w:r w:rsidR="00215F5C" w:rsidRPr="00215F5C">
        <w:rPr>
          <w:sz w:val="28"/>
          <w:szCs w:val="28"/>
        </w:rPr>
        <w:t xml:space="preserve"> </w:t>
      </w:r>
      <w:r w:rsidR="00215F5C">
        <w:rPr>
          <w:sz w:val="28"/>
          <w:szCs w:val="28"/>
        </w:rPr>
        <w:t>и отраженных в соотве</w:t>
      </w:r>
      <w:r w:rsidR="0047106A">
        <w:rPr>
          <w:sz w:val="28"/>
          <w:szCs w:val="28"/>
        </w:rPr>
        <w:t>т</w:t>
      </w:r>
      <w:r w:rsidR="00215F5C">
        <w:rPr>
          <w:sz w:val="28"/>
          <w:szCs w:val="28"/>
        </w:rPr>
        <w:t>ствии с пунктом 40 настоящих Правил в</w:t>
      </w:r>
      <w:r w:rsidR="00215F5C" w:rsidRPr="00215F5C">
        <w:rPr>
          <w:sz w:val="28"/>
          <w:szCs w:val="28"/>
        </w:rPr>
        <w:t xml:space="preserve"> протоколах согласительных совещаний</w:t>
      </w:r>
      <w:r>
        <w:rPr>
          <w:sz w:val="28"/>
          <w:szCs w:val="28"/>
        </w:rPr>
        <w:t>, каждая из сторон вправе</w:t>
      </w:r>
      <w:r w:rsidR="00486BCC">
        <w:rPr>
          <w:sz w:val="28"/>
          <w:szCs w:val="28"/>
        </w:rPr>
        <w:t xml:space="preserve"> до 1 сентября</w:t>
      </w:r>
      <w:r>
        <w:rPr>
          <w:sz w:val="28"/>
          <w:szCs w:val="28"/>
        </w:rPr>
        <w:t xml:space="preserve"> обратиться в Министерство энергетики Российской Федерации для урегулирования спора.</w:t>
      </w:r>
    </w:p>
    <w:p w14:paraId="1775687C" w14:textId="318C2831" w:rsidR="001928A3" w:rsidRDefault="000546C8">
      <w:pPr>
        <w:tabs>
          <w:tab w:val="left" w:pos="1276"/>
          <w:tab w:val="left" w:pos="2268"/>
        </w:tabs>
        <w:spacing w:line="400" w:lineRule="exact"/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30 дней со дня обращения Министерство энергетики Российской Федерации направляет </w:t>
      </w:r>
      <w:r w:rsidR="00C520ED"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 </w:t>
      </w:r>
      <w:r w:rsidR="00C520ED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 xml:space="preserve">рассмотрения спора в </w:t>
      </w:r>
      <w:r w:rsidR="00E41ED5" w:rsidRPr="001E40D3">
        <w:rPr>
          <w:sz w:val="28"/>
          <w:szCs w:val="28"/>
        </w:rPr>
        <w:t xml:space="preserve">уполномоченный </w:t>
      </w:r>
      <w:r w:rsidRPr="001E40D3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исполнительной власти субъекта Российской Федерации, </w:t>
      </w:r>
      <w:r w:rsidR="008D6F0E">
        <w:rPr>
          <w:sz w:val="28"/>
          <w:szCs w:val="28"/>
        </w:rPr>
        <w:t>территориальной сетевой организации и системообразующей территориальной сетевой организации</w:t>
      </w:r>
      <w:r>
        <w:rPr>
          <w:sz w:val="28"/>
          <w:szCs w:val="28"/>
        </w:rPr>
        <w:t>.</w:t>
      </w:r>
      <w:r w:rsidR="00A11C37">
        <w:rPr>
          <w:sz w:val="28"/>
          <w:szCs w:val="28"/>
        </w:rPr>
        <w:t>»;</w:t>
      </w:r>
    </w:p>
    <w:p w14:paraId="1AA5CE04" w14:textId="77777777" w:rsidR="009336B9" w:rsidRDefault="00A11C37">
      <w:pPr>
        <w:tabs>
          <w:tab w:val="left" w:pos="1276"/>
          <w:tab w:val="left" w:pos="2268"/>
        </w:tabs>
        <w:spacing w:line="400" w:lineRule="exact"/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41</w:t>
      </w:r>
      <w:r w:rsidR="009336B9">
        <w:rPr>
          <w:sz w:val="28"/>
          <w:szCs w:val="28"/>
        </w:rPr>
        <w:t>:</w:t>
      </w:r>
    </w:p>
    <w:p w14:paraId="13A449B4" w14:textId="32545B51" w:rsidR="009336B9" w:rsidRDefault="009336B9" w:rsidP="009336B9">
      <w:pPr>
        <w:tabs>
          <w:tab w:val="left" w:pos="1276"/>
          <w:tab w:val="left" w:pos="2268"/>
        </w:tabs>
        <w:spacing w:line="400" w:lineRule="exact"/>
        <w:ind w:right="227" w:firstLine="709"/>
        <w:jc w:val="both"/>
        <w:rPr>
          <w:sz w:val="28"/>
          <w:szCs w:val="28"/>
        </w:rPr>
      </w:pPr>
      <w:r w:rsidRPr="001E40D3">
        <w:rPr>
          <w:sz w:val="28"/>
          <w:szCs w:val="28"/>
        </w:rPr>
        <w:t xml:space="preserve">абзац первый дополнить </w:t>
      </w:r>
      <w:r w:rsidR="00270FD8" w:rsidRPr="001E40D3">
        <w:rPr>
          <w:sz w:val="28"/>
          <w:szCs w:val="28"/>
        </w:rPr>
        <w:t xml:space="preserve">словами </w:t>
      </w:r>
      <w:r w:rsidRPr="001E40D3">
        <w:rPr>
          <w:sz w:val="28"/>
          <w:szCs w:val="28"/>
        </w:rPr>
        <w:t>«Обращение о рассмотрении неурегулированных замечаний, предложений и (или) разногласий по проекту инвестиционной программы, указанных в пункте 40</w:t>
      </w:r>
      <w:r w:rsidRPr="001E40D3">
        <w:rPr>
          <w:sz w:val="28"/>
          <w:szCs w:val="28"/>
          <w:vertAlign w:val="superscript"/>
        </w:rPr>
        <w:t>1</w:t>
      </w:r>
      <w:r w:rsidRPr="001E40D3">
        <w:rPr>
          <w:sz w:val="28"/>
          <w:szCs w:val="28"/>
        </w:rPr>
        <w:t xml:space="preserve"> настоящих Правил, направляется в высший исполнительный орган субъекта Российской Федерации с приложением </w:t>
      </w:r>
      <w:r w:rsidR="008A20BB" w:rsidRPr="001E40D3">
        <w:rPr>
          <w:sz w:val="28"/>
          <w:szCs w:val="28"/>
        </w:rPr>
        <w:t>сведений о результатах</w:t>
      </w:r>
      <w:r w:rsidRPr="001E40D3">
        <w:rPr>
          <w:sz w:val="28"/>
          <w:szCs w:val="28"/>
        </w:rPr>
        <w:t xml:space="preserve"> </w:t>
      </w:r>
      <w:r w:rsidRPr="001E40D3">
        <w:rPr>
          <w:sz w:val="28"/>
          <w:szCs w:val="28"/>
        </w:rPr>
        <w:lastRenderedPageBreak/>
        <w:t xml:space="preserve">рассмотрения </w:t>
      </w:r>
      <w:r w:rsidR="00994F3E" w:rsidRPr="001E40D3">
        <w:rPr>
          <w:sz w:val="28"/>
          <w:szCs w:val="28"/>
        </w:rPr>
        <w:t>спора,</w:t>
      </w:r>
      <w:r w:rsidR="0067498D" w:rsidRPr="001E40D3">
        <w:rPr>
          <w:sz w:val="28"/>
          <w:szCs w:val="28"/>
        </w:rPr>
        <w:t xml:space="preserve"> направленных Министерством энергетики Российской Федерации в соответствии с</w:t>
      </w:r>
      <w:r w:rsidR="00994F3E" w:rsidRPr="001E40D3">
        <w:rPr>
          <w:sz w:val="28"/>
          <w:szCs w:val="28"/>
        </w:rPr>
        <w:t xml:space="preserve"> абзаце</w:t>
      </w:r>
      <w:r w:rsidR="0067498D" w:rsidRPr="001E40D3">
        <w:rPr>
          <w:sz w:val="28"/>
          <w:szCs w:val="28"/>
        </w:rPr>
        <w:t>м вторым</w:t>
      </w:r>
      <w:r w:rsidR="00994F3E" w:rsidRPr="001E40D3">
        <w:rPr>
          <w:sz w:val="28"/>
          <w:szCs w:val="28"/>
        </w:rPr>
        <w:t xml:space="preserve"> пункта 40</w:t>
      </w:r>
      <w:r w:rsidR="00994F3E" w:rsidRPr="001E40D3">
        <w:rPr>
          <w:sz w:val="28"/>
          <w:szCs w:val="28"/>
          <w:vertAlign w:val="superscript"/>
        </w:rPr>
        <w:t>1</w:t>
      </w:r>
      <w:r w:rsidR="00994F3E" w:rsidRPr="001E40D3">
        <w:rPr>
          <w:sz w:val="28"/>
          <w:szCs w:val="28"/>
        </w:rPr>
        <w:t xml:space="preserve"> настоящих Правил, </w:t>
      </w:r>
      <w:r w:rsidRPr="001E40D3">
        <w:rPr>
          <w:sz w:val="28"/>
          <w:szCs w:val="28"/>
        </w:rPr>
        <w:t xml:space="preserve">после </w:t>
      </w:r>
      <w:r w:rsidR="0067498D" w:rsidRPr="001E40D3">
        <w:rPr>
          <w:sz w:val="28"/>
          <w:szCs w:val="28"/>
        </w:rPr>
        <w:t xml:space="preserve">их </w:t>
      </w:r>
      <w:r w:rsidRPr="001E40D3">
        <w:rPr>
          <w:sz w:val="28"/>
          <w:szCs w:val="28"/>
        </w:rPr>
        <w:t>поступления в уполномоченный орган исполнительной власти субъекта Российской Федерации</w:t>
      </w:r>
      <w:r w:rsidR="008A20BB" w:rsidRPr="001E40D3">
        <w:rPr>
          <w:sz w:val="28"/>
          <w:szCs w:val="28"/>
        </w:rPr>
        <w:t>.</w:t>
      </w:r>
      <w:r w:rsidRPr="001E40D3">
        <w:rPr>
          <w:sz w:val="28"/>
          <w:szCs w:val="28"/>
        </w:rPr>
        <w:t>»;</w:t>
      </w:r>
    </w:p>
    <w:p w14:paraId="50E7A3F1" w14:textId="68EEAACD" w:rsidR="00A11C37" w:rsidRDefault="00A11C37">
      <w:pPr>
        <w:tabs>
          <w:tab w:val="left" w:pos="1276"/>
          <w:tab w:val="left" w:pos="2268"/>
        </w:tabs>
        <w:spacing w:line="400" w:lineRule="exact"/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дополнить предложением следующего содержания:</w:t>
      </w:r>
    </w:p>
    <w:p w14:paraId="0E360C08" w14:textId="6611D5B3" w:rsidR="001928A3" w:rsidRDefault="00A11C37">
      <w:pPr>
        <w:tabs>
          <w:tab w:val="left" w:pos="1276"/>
          <w:tab w:val="left" w:pos="2268"/>
        </w:tabs>
        <w:spacing w:line="400" w:lineRule="exact"/>
        <w:ind w:right="227" w:firstLine="709"/>
        <w:jc w:val="both"/>
        <w:rPr>
          <w:rStyle w:val="a6"/>
        </w:rPr>
      </w:pPr>
      <w:r>
        <w:rPr>
          <w:sz w:val="28"/>
          <w:szCs w:val="28"/>
        </w:rPr>
        <w:t xml:space="preserve">«Высший исполнительный орган </w:t>
      </w:r>
      <w:r w:rsidR="000546C8">
        <w:rPr>
          <w:sz w:val="28"/>
          <w:szCs w:val="28"/>
        </w:rPr>
        <w:t xml:space="preserve">субъекта Российской Федерации </w:t>
      </w:r>
      <w:r w:rsidR="00CF3A8F">
        <w:rPr>
          <w:sz w:val="28"/>
          <w:szCs w:val="28"/>
        </w:rPr>
        <w:t>при рассмотрении указанных н</w:t>
      </w:r>
      <w:r w:rsidR="00CF3A8F" w:rsidRPr="00A11C37">
        <w:rPr>
          <w:sz w:val="28"/>
          <w:szCs w:val="28"/>
        </w:rPr>
        <w:t>еурегулированны</w:t>
      </w:r>
      <w:r w:rsidR="00CF3A8F">
        <w:rPr>
          <w:sz w:val="28"/>
          <w:szCs w:val="28"/>
        </w:rPr>
        <w:t>х</w:t>
      </w:r>
      <w:r w:rsidR="00CF3A8F" w:rsidRPr="00A11C37">
        <w:rPr>
          <w:sz w:val="28"/>
          <w:szCs w:val="28"/>
        </w:rPr>
        <w:t xml:space="preserve"> замечани</w:t>
      </w:r>
      <w:r w:rsidR="00CF3A8F">
        <w:rPr>
          <w:sz w:val="28"/>
          <w:szCs w:val="28"/>
        </w:rPr>
        <w:t>й</w:t>
      </w:r>
      <w:r w:rsidR="00CF3A8F" w:rsidRPr="00A11C37">
        <w:rPr>
          <w:sz w:val="28"/>
          <w:szCs w:val="28"/>
        </w:rPr>
        <w:t>, предложени</w:t>
      </w:r>
      <w:r w:rsidR="00CF3A8F">
        <w:rPr>
          <w:sz w:val="28"/>
          <w:szCs w:val="28"/>
        </w:rPr>
        <w:t>й</w:t>
      </w:r>
      <w:r w:rsidR="00CF3A8F" w:rsidRPr="00A11C37">
        <w:rPr>
          <w:sz w:val="28"/>
          <w:szCs w:val="28"/>
        </w:rPr>
        <w:t xml:space="preserve"> и (или) разногласи</w:t>
      </w:r>
      <w:r w:rsidR="00CF3A8F">
        <w:rPr>
          <w:sz w:val="28"/>
          <w:szCs w:val="28"/>
        </w:rPr>
        <w:t xml:space="preserve">й </w:t>
      </w:r>
      <w:r w:rsidR="000546C8">
        <w:rPr>
          <w:sz w:val="28"/>
          <w:szCs w:val="28"/>
        </w:rPr>
        <w:t xml:space="preserve">учитывает </w:t>
      </w:r>
      <w:r w:rsidR="00C606F8" w:rsidRPr="001E40D3">
        <w:rPr>
          <w:sz w:val="28"/>
          <w:szCs w:val="28"/>
        </w:rPr>
        <w:t>сведения о результатах рассмотрения спора</w:t>
      </w:r>
      <w:r w:rsidR="000E4A98" w:rsidRPr="001E40D3">
        <w:rPr>
          <w:sz w:val="28"/>
          <w:szCs w:val="28"/>
        </w:rPr>
        <w:t xml:space="preserve">, </w:t>
      </w:r>
      <w:r w:rsidR="00714B3B" w:rsidRPr="001E40D3">
        <w:rPr>
          <w:sz w:val="28"/>
          <w:szCs w:val="28"/>
        </w:rPr>
        <w:t xml:space="preserve">направленные Министерством энергетики Российской Федерации в соответствии с </w:t>
      </w:r>
      <w:r w:rsidR="000E4A98" w:rsidRPr="001E40D3">
        <w:rPr>
          <w:sz w:val="28"/>
          <w:szCs w:val="28"/>
        </w:rPr>
        <w:t>абзаце</w:t>
      </w:r>
      <w:r w:rsidR="00714B3B" w:rsidRPr="001E40D3">
        <w:rPr>
          <w:sz w:val="28"/>
          <w:szCs w:val="28"/>
        </w:rPr>
        <w:t>м</w:t>
      </w:r>
      <w:r w:rsidR="000E4A98" w:rsidRPr="001E40D3">
        <w:rPr>
          <w:sz w:val="28"/>
          <w:szCs w:val="28"/>
        </w:rPr>
        <w:t xml:space="preserve"> </w:t>
      </w:r>
      <w:r w:rsidR="00714B3B" w:rsidRPr="001E40D3">
        <w:rPr>
          <w:sz w:val="28"/>
          <w:szCs w:val="28"/>
        </w:rPr>
        <w:t>вторым</w:t>
      </w:r>
      <w:r w:rsidR="000E4A98" w:rsidRPr="001E40D3">
        <w:rPr>
          <w:sz w:val="28"/>
          <w:szCs w:val="28"/>
        </w:rPr>
        <w:t xml:space="preserve"> пункта 40</w:t>
      </w:r>
      <w:r w:rsidR="000E4A98" w:rsidRPr="001E40D3">
        <w:rPr>
          <w:sz w:val="28"/>
          <w:szCs w:val="28"/>
          <w:vertAlign w:val="superscript"/>
        </w:rPr>
        <w:t>1</w:t>
      </w:r>
      <w:r w:rsidR="000E4A98" w:rsidRPr="001E40D3">
        <w:rPr>
          <w:sz w:val="28"/>
          <w:szCs w:val="28"/>
        </w:rPr>
        <w:t xml:space="preserve"> настоящих Правил</w:t>
      </w:r>
      <w:r w:rsidR="000546C8" w:rsidRPr="001E40D3">
        <w:rPr>
          <w:sz w:val="28"/>
          <w:szCs w:val="28"/>
        </w:rPr>
        <w:t>.</w:t>
      </w:r>
      <w:bookmarkStart w:id="7" w:name="_GoBack"/>
      <w:bookmarkEnd w:id="7"/>
      <w:r w:rsidR="000546C8" w:rsidRPr="001E40D3">
        <w:rPr>
          <w:sz w:val="28"/>
          <w:szCs w:val="28"/>
        </w:rPr>
        <w:t>».</w:t>
      </w:r>
    </w:p>
    <w:p w14:paraId="4A783E1C" w14:textId="5F08972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постановлении Правительства Российской Федерации от</w:t>
      </w:r>
      <w:r w:rsidR="00293906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293906">
        <w:rPr>
          <w:sz w:val="28"/>
          <w:szCs w:val="28"/>
        </w:rPr>
        <w:t> </w:t>
      </w:r>
      <w:r>
        <w:rPr>
          <w:sz w:val="28"/>
          <w:szCs w:val="28"/>
        </w:rPr>
        <w:t>июня</w:t>
      </w:r>
      <w:r w:rsidR="00293906">
        <w:rPr>
          <w:sz w:val="28"/>
          <w:szCs w:val="28"/>
        </w:rPr>
        <w:t> </w:t>
      </w:r>
      <w:r>
        <w:rPr>
          <w:sz w:val="28"/>
          <w:szCs w:val="28"/>
        </w:rPr>
        <w:t>2023 г. № 923 «О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электроэнергетики» (Собрание законодательства Российской Федерации, 2023, № 24, ст. 4324):</w:t>
      </w:r>
    </w:p>
    <w:p w14:paraId="01F3A2A6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пункта 4 цифры «2026» заменить цифрами «2028»;</w:t>
      </w:r>
    </w:p>
    <w:p w14:paraId="7AB3720C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первом пункта 5 цифры «2025» заменить цифрами «2027», цифры «2026» заменить цифрами «2028»;</w:t>
      </w:r>
    </w:p>
    <w:p w14:paraId="512B3BF5" w14:textId="77777777" w:rsidR="001928A3" w:rsidRDefault="000546C8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пункте 9 цифры «2026» заменить цифрами «2028», цифры «2025» заменить цифрами «2027».</w:t>
      </w:r>
    </w:p>
    <w:p w14:paraId="02A811AE" w14:textId="77777777" w:rsidR="001928A3" w:rsidRDefault="001928A3">
      <w:pPr>
        <w:widowControl/>
        <w:spacing w:line="360" w:lineRule="atLeast"/>
        <w:jc w:val="both"/>
        <w:rPr>
          <w:rStyle w:val="a6"/>
          <w:sz w:val="28"/>
          <w:szCs w:val="28"/>
        </w:rPr>
      </w:pPr>
    </w:p>
    <w:p w14:paraId="04BAF45D" w14:textId="77777777" w:rsidR="001928A3" w:rsidRDefault="000546C8">
      <w:pPr>
        <w:tabs>
          <w:tab w:val="left" w:pos="8564"/>
        </w:tabs>
        <w:spacing w:line="360" w:lineRule="atLeast"/>
        <w:jc w:val="center"/>
      </w:pPr>
      <w:r>
        <w:rPr>
          <w:sz w:val="28"/>
          <w:szCs w:val="28"/>
        </w:rPr>
        <w:t xml:space="preserve">____________ </w:t>
      </w:r>
      <w:bookmarkStart w:id="8" w:name="Par1"/>
      <w:bookmarkEnd w:id="8"/>
    </w:p>
    <w:sectPr w:rsidR="001928A3">
      <w:headerReference w:type="default" r:id="rId8"/>
      <w:headerReference w:type="first" r:id="rId9"/>
      <w:pgSz w:w="11900" w:h="16840"/>
      <w:pgMar w:top="1418" w:right="1418" w:bottom="1418" w:left="1418" w:header="709" w:footer="709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A13DEB6" w16cex:dateUtc="2024-06-26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32CA42" w16cid:durableId="6A13DE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E49FF" w14:textId="77777777" w:rsidR="00F004B6" w:rsidRDefault="00F004B6">
      <w:r>
        <w:separator/>
      </w:r>
    </w:p>
  </w:endnote>
  <w:endnote w:type="continuationSeparator" w:id="0">
    <w:p w14:paraId="3A5F0E73" w14:textId="77777777" w:rsidR="00F004B6" w:rsidRDefault="00F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99064537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7B61924" w14:textId="58A1C781" w:rsidR="000D2BC0" w:rsidRDefault="000D2BC0" w:rsidP="00B72E9A">
        <w:pPr>
          <w:pStyle w:val="ab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2086923" w14:textId="77777777" w:rsidR="000D2BC0" w:rsidRDefault="000D2BC0" w:rsidP="0029390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50854" w14:textId="77777777" w:rsidR="00F004B6" w:rsidRDefault="00F004B6">
      <w:r>
        <w:separator/>
      </w:r>
    </w:p>
  </w:footnote>
  <w:footnote w:type="continuationSeparator" w:id="0">
    <w:p w14:paraId="1FE8380B" w14:textId="77777777" w:rsidR="00F004B6" w:rsidRDefault="00F0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19246" w14:textId="77777777" w:rsidR="001928A3" w:rsidRDefault="001928A3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081C9" w14:textId="77777777" w:rsidR="001928A3" w:rsidRDefault="001928A3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615C"/>
    <w:multiLevelType w:val="hybridMultilevel"/>
    <w:tmpl w:val="B0EE28FE"/>
    <w:styleLink w:val="a"/>
    <w:lvl w:ilvl="0" w:tplc="030AFD9A">
      <w:start w:val="1"/>
      <w:numFmt w:val="decimal"/>
      <w:suff w:val="nothing"/>
      <w:lvlText w:val="%1."/>
      <w:lvlJc w:val="left"/>
      <w:pPr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F29FD4">
      <w:start w:val="1"/>
      <w:numFmt w:val="decimal"/>
      <w:lvlText w:val="%2."/>
      <w:lvlJc w:val="left"/>
      <w:pPr>
        <w:tabs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A9D8C">
      <w:start w:val="1"/>
      <w:numFmt w:val="decimal"/>
      <w:lvlText w:val="%3."/>
      <w:lvlJc w:val="left"/>
      <w:pPr>
        <w:tabs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4B91A">
      <w:start w:val="1"/>
      <w:numFmt w:val="decimal"/>
      <w:lvlText w:val="%4."/>
      <w:lvlJc w:val="left"/>
      <w:pPr>
        <w:tabs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6E4968">
      <w:start w:val="1"/>
      <w:numFmt w:val="decimal"/>
      <w:lvlText w:val="%5."/>
      <w:lvlJc w:val="left"/>
      <w:pPr>
        <w:tabs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5C37D2">
      <w:start w:val="1"/>
      <w:numFmt w:val="decimal"/>
      <w:lvlText w:val="%6."/>
      <w:lvlJc w:val="left"/>
      <w:pPr>
        <w:tabs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0A6632">
      <w:start w:val="1"/>
      <w:numFmt w:val="decimal"/>
      <w:lvlText w:val="%7."/>
      <w:lvlJc w:val="left"/>
      <w:pPr>
        <w:tabs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B62A66">
      <w:start w:val="1"/>
      <w:numFmt w:val="decimal"/>
      <w:lvlText w:val="%8."/>
      <w:lvlJc w:val="left"/>
      <w:pPr>
        <w:tabs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DE7D24">
      <w:start w:val="1"/>
      <w:numFmt w:val="decimal"/>
      <w:lvlText w:val="%9."/>
      <w:lvlJc w:val="left"/>
      <w:pPr>
        <w:tabs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D4777D"/>
    <w:multiLevelType w:val="hybridMultilevel"/>
    <w:tmpl w:val="B0EE28F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A3"/>
    <w:rsid w:val="000546C8"/>
    <w:rsid w:val="0007635F"/>
    <w:rsid w:val="000D2BC0"/>
    <w:rsid w:val="000E4A98"/>
    <w:rsid w:val="001928A3"/>
    <w:rsid w:val="001E40D3"/>
    <w:rsid w:val="001F74DF"/>
    <w:rsid w:val="00215F5C"/>
    <w:rsid w:val="00220C9A"/>
    <w:rsid w:val="00265DB4"/>
    <w:rsid w:val="00270FD8"/>
    <w:rsid w:val="00290FCC"/>
    <w:rsid w:val="00293906"/>
    <w:rsid w:val="002B074C"/>
    <w:rsid w:val="002E69B5"/>
    <w:rsid w:val="00337854"/>
    <w:rsid w:val="003A7770"/>
    <w:rsid w:val="003B4107"/>
    <w:rsid w:val="003E7E67"/>
    <w:rsid w:val="00410B51"/>
    <w:rsid w:val="0044523D"/>
    <w:rsid w:val="00452FE3"/>
    <w:rsid w:val="0047106A"/>
    <w:rsid w:val="00486BCC"/>
    <w:rsid w:val="00490F67"/>
    <w:rsid w:val="004A6F64"/>
    <w:rsid w:val="004B6EAF"/>
    <w:rsid w:val="0055327A"/>
    <w:rsid w:val="005F4470"/>
    <w:rsid w:val="0067498D"/>
    <w:rsid w:val="00714B3B"/>
    <w:rsid w:val="00715926"/>
    <w:rsid w:val="00753E2A"/>
    <w:rsid w:val="007655D3"/>
    <w:rsid w:val="00771AF1"/>
    <w:rsid w:val="007A3030"/>
    <w:rsid w:val="007C4FFF"/>
    <w:rsid w:val="007C619D"/>
    <w:rsid w:val="008A20BB"/>
    <w:rsid w:val="008C717A"/>
    <w:rsid w:val="008D6F0E"/>
    <w:rsid w:val="008F0366"/>
    <w:rsid w:val="009336B9"/>
    <w:rsid w:val="009821A9"/>
    <w:rsid w:val="00994F3E"/>
    <w:rsid w:val="009A32A4"/>
    <w:rsid w:val="009A6C04"/>
    <w:rsid w:val="009C2C1F"/>
    <w:rsid w:val="009E08EF"/>
    <w:rsid w:val="00A11C37"/>
    <w:rsid w:val="00A20BCC"/>
    <w:rsid w:val="00A32D0C"/>
    <w:rsid w:val="00A346C8"/>
    <w:rsid w:val="00AC56D9"/>
    <w:rsid w:val="00BC0248"/>
    <w:rsid w:val="00BE5857"/>
    <w:rsid w:val="00C520ED"/>
    <w:rsid w:val="00C606F8"/>
    <w:rsid w:val="00C828E1"/>
    <w:rsid w:val="00CE5D98"/>
    <w:rsid w:val="00CF3A8F"/>
    <w:rsid w:val="00D32A32"/>
    <w:rsid w:val="00D510BF"/>
    <w:rsid w:val="00D80187"/>
    <w:rsid w:val="00DB0B24"/>
    <w:rsid w:val="00E03EF1"/>
    <w:rsid w:val="00E41ED5"/>
    <w:rsid w:val="00E62EAE"/>
    <w:rsid w:val="00EA55AC"/>
    <w:rsid w:val="00EC03C5"/>
    <w:rsid w:val="00EF323E"/>
    <w:rsid w:val="00F004B6"/>
    <w:rsid w:val="00F81AFA"/>
    <w:rsid w:val="00F9426D"/>
    <w:rsid w:val="00FC2BF1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42EC"/>
  <w15:docId w15:val="{EF3359AB-4FCA-B74C-8B77-DFCEB58C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cs="Arial Unicode MS"/>
      <w:color w:val="000000"/>
      <w:u w:color="000000"/>
    </w:rPr>
  </w:style>
  <w:style w:type="paragraph" w:styleId="3">
    <w:name w:val="heading 3"/>
    <w:uiPriority w:val="9"/>
    <w:unhideWhenUsed/>
    <w:qFormat/>
    <w:pPr>
      <w:keepNext/>
      <w:jc w:val="both"/>
      <w:outlineLvl w:val="2"/>
    </w:pPr>
    <w:rPr>
      <w:rFonts w:cs="Arial Unicode MS"/>
      <w:b/>
      <w:bCs/>
      <w:color w:val="000000"/>
      <w:spacing w:val="-20"/>
      <w:sz w:val="36"/>
      <w:szCs w:val="36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customStyle="1" w:styleId="2">
    <w:name w:val="Вертикальный отступ 2"/>
    <w:pPr>
      <w:jc w:val="center"/>
    </w:pPr>
    <w:rPr>
      <w:rFonts w:eastAsia="Times New Roman"/>
      <w:b/>
      <w:bCs/>
      <w:color w:val="000000"/>
      <w:sz w:val="32"/>
      <w:szCs w:val="32"/>
      <w:u w:color="000000"/>
    </w:rPr>
  </w:style>
  <w:style w:type="paragraph" w:customStyle="1" w:styleId="a7">
    <w:name w:val="Постановление"/>
    <w:pPr>
      <w:spacing w:line="360" w:lineRule="atLeast"/>
      <w:jc w:val="center"/>
    </w:pPr>
    <w:rPr>
      <w:rFonts w:cs="Arial Unicode MS"/>
      <w:color w:val="000000"/>
      <w:spacing w:val="6"/>
      <w:sz w:val="32"/>
      <w:szCs w:val="32"/>
      <w:u w:color="000000"/>
    </w:rPr>
  </w:style>
  <w:style w:type="paragraph" w:customStyle="1" w:styleId="a8">
    <w:name w:val="Номер"/>
    <w:pPr>
      <w:spacing w:before="60" w:after="60"/>
      <w:jc w:val="center"/>
    </w:pPr>
    <w:rPr>
      <w:rFonts w:cs="Arial Unicode MS"/>
      <w:color w:val="000000"/>
      <w:sz w:val="28"/>
      <w:szCs w:val="28"/>
      <w:u w:color="000000"/>
    </w:rPr>
  </w:style>
  <w:style w:type="paragraph" w:customStyle="1" w:styleId="1">
    <w:name w:val="Вертикальный отступ 1"/>
    <w:pPr>
      <w:jc w:val="center"/>
    </w:pPr>
    <w:rPr>
      <w:rFonts w:eastAsia="Times New Roman"/>
      <w:color w:val="000000"/>
      <w:sz w:val="28"/>
      <w:szCs w:val="28"/>
      <w:u w:color="000000"/>
      <w:lang w:val="en-US"/>
    </w:rPr>
  </w:style>
  <w:style w:type="numbering" w:customStyle="1" w:styleId="a">
    <w:name w:val="С числами"/>
    <w:pPr>
      <w:numPr>
        <w:numId w:val="1"/>
      </w:numPr>
    </w:pPr>
  </w:style>
  <w:style w:type="paragraph" w:styleId="a9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aa">
    <w:name w:val="Revision"/>
    <w:hidden/>
    <w:uiPriority w:val="99"/>
    <w:semiHidden/>
    <w:rsid w:val="00771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  <w:style w:type="paragraph" w:styleId="ab">
    <w:name w:val="footer"/>
    <w:basedOn w:val="a0"/>
    <w:link w:val="ac"/>
    <w:uiPriority w:val="99"/>
    <w:unhideWhenUsed/>
    <w:rsid w:val="000D2B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D2BC0"/>
    <w:rPr>
      <w:rFonts w:cs="Arial Unicode MS"/>
      <w:color w:val="000000"/>
      <w:u w:color="000000"/>
    </w:rPr>
  </w:style>
  <w:style w:type="character" w:styleId="ad">
    <w:name w:val="annotation reference"/>
    <w:basedOn w:val="a1"/>
    <w:uiPriority w:val="99"/>
    <w:semiHidden/>
    <w:unhideWhenUsed/>
    <w:rsid w:val="00E62EAE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E62EAE"/>
  </w:style>
  <w:style w:type="character" w:customStyle="1" w:styleId="af">
    <w:name w:val="Текст примечания Знак"/>
    <w:basedOn w:val="a1"/>
    <w:link w:val="ae"/>
    <w:uiPriority w:val="99"/>
    <w:semiHidden/>
    <w:rsid w:val="00E62EAE"/>
    <w:rPr>
      <w:rFonts w:cs="Arial Unicode MS"/>
      <w:color w:val="000000"/>
      <w:u w:color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2E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2EAE"/>
    <w:rPr>
      <w:rFonts w:cs="Arial Unicode MS"/>
      <w:b/>
      <w:bCs/>
      <w:color w:val="000000"/>
      <w:u w:color="000000"/>
    </w:rPr>
  </w:style>
  <w:style w:type="paragraph" w:styleId="af2">
    <w:name w:val="Balloon Text"/>
    <w:basedOn w:val="a0"/>
    <w:link w:val="af3"/>
    <w:uiPriority w:val="99"/>
    <w:semiHidden/>
    <w:unhideWhenUsed/>
    <w:rsid w:val="00BC024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C0248"/>
    <w:rPr>
      <w:rFonts w:ascii="Segoe UI" w:hAnsi="Segoe UI" w:cs="Segoe UI"/>
      <w:color w:val="000000"/>
      <w:sz w:val="18"/>
      <w:szCs w:val="18"/>
      <w:u w:color="000000"/>
    </w:rPr>
  </w:style>
  <w:style w:type="paragraph" w:styleId="af4">
    <w:name w:val="header"/>
    <w:basedOn w:val="a0"/>
    <w:link w:val="af5"/>
    <w:uiPriority w:val="99"/>
    <w:unhideWhenUsed/>
    <w:rsid w:val="0029390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293906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 Елена Анатольевна</dc:creator>
  <cp:lastModifiedBy>ФЕДОСЕЕВА Ева Алексеевна</cp:lastModifiedBy>
  <cp:revision>5</cp:revision>
  <cp:lastPrinted>2024-07-30T13:30:00Z</cp:lastPrinted>
  <dcterms:created xsi:type="dcterms:W3CDTF">2024-07-31T10:05:00Z</dcterms:created>
  <dcterms:modified xsi:type="dcterms:W3CDTF">2024-08-12T12:42:00Z</dcterms:modified>
</cp:coreProperties>
</file>