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2937510</wp:posOffset>
            </wp:positionH>
            <wp:positionV relativeFrom="paragraph">
              <wp:posOffset>-396240</wp:posOffset>
            </wp:positionV>
            <wp:extent cx="600075" cy="72390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474"/>
        <w:gridCol w:w="3475"/>
        <w:gridCol w:w="3475"/>
      </w:tblGrid>
      <w:tr>
        <w:trPr>
          <w:trHeight w:val="98" w:hRule="exact"/>
          <w:cantSplit w:val="true"/>
        </w:trPr>
        <w:tc>
          <w:tcPr>
            <w:tcW w:w="10424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/>
                <w:sz w:val="22"/>
              </w:rPr>
            </w:pPr>
            <w:r>
              <w:rPr>
                <w:rFonts w:eastAsia="Calibri" w:ascii="Calibri" w:hAnsi="Calibri"/>
                <w:sz w:val="22"/>
              </w:rPr>
            </w:r>
            <w:bookmarkStart w:id="0" w:name="Par37"/>
            <w:bookmarkStart w:id="1" w:name="Par37"/>
            <w:bookmarkEnd w:id="1"/>
          </w:p>
        </w:tc>
      </w:tr>
      <w:tr>
        <w:trPr>
          <w:trHeight w:val="1134" w:hRule="exact"/>
          <w:cantSplit w:val="true"/>
        </w:trPr>
        <w:tc>
          <w:tcPr>
            <w:tcW w:w="1042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caps/>
                <w:szCs w:val="28"/>
              </w:rPr>
            </w:pPr>
            <w:r>
              <w:rPr>
                <w:rFonts w:eastAsia="Calibri"/>
                <w:b/>
                <w:bCs/>
                <w:caps/>
                <w:szCs w:val="28"/>
              </w:rPr>
              <w:t>Министерство транспорта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(МИНТРАНС РОССИИ)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10424" w:type="dxa"/>
            <w:gridSpan w:val="3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Calibri"/>
                <w:b/>
                <w:b/>
                <w:spacing w:val="100"/>
                <w:sz w:val="32"/>
                <w:szCs w:val="32"/>
              </w:rPr>
            </w:pPr>
            <w:r>
              <w:rPr>
                <w:rFonts w:eastAsia="Calibri"/>
                <w:b/>
                <w:spacing w:val="100"/>
                <w:sz w:val="32"/>
                <w:szCs w:val="32"/>
              </w:rPr>
              <w:t>ПРИКАЗ</w:t>
            </w:r>
          </w:p>
        </w:tc>
      </w:tr>
      <w:tr>
        <w:trPr>
          <w:trHeight w:val="1021" w:hRule="atLeast"/>
          <w:cantSplit w:val="true"/>
        </w:trPr>
        <w:tc>
          <w:tcPr>
            <w:tcW w:w="34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/>
                <w:sz w:val="22"/>
              </w:rPr>
            </w:pPr>
            <w:r>
              <w:rPr>
                <w:rFonts w:eastAsia="Calibri" w:ascii="Calibri" w:hAnsi="Calibri"/>
                <w:sz w:val="22"/>
              </w:rPr>
              <w:t>___________________________</w:t>
            </w:r>
          </w:p>
        </w:tc>
        <w:tc>
          <w:tcPr>
            <w:tcW w:w="34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/>
                <w:bCs/>
                <w:sz w:val="22"/>
                <w:szCs w:val="28"/>
              </w:rPr>
            </w:pPr>
            <w:r>
              <w:rPr>
                <w:rFonts w:eastAsia="Calibri"/>
                <w:spacing w:val="8"/>
                <w:w w:val="93"/>
                <w:szCs w:val="28"/>
              </w:rPr>
              <w:t>Москва</w:t>
            </w:r>
          </w:p>
        </w:tc>
        <w:tc>
          <w:tcPr>
            <w:tcW w:w="34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/>
                <w:sz w:val="22"/>
              </w:rPr>
            </w:pPr>
            <w:r>
              <w:rPr>
                <w:rFonts w:eastAsia="Calibri"/>
                <w:spacing w:val="1"/>
                <w:w w:val="86"/>
                <w:szCs w:val="28"/>
              </w:rPr>
              <w:t>№</w:t>
            </w:r>
            <w:r>
              <w:rPr>
                <w:rFonts w:eastAsia="Calibri" w:ascii="Calibri" w:hAnsi="Calibri"/>
                <w:spacing w:val="1"/>
                <w:sz w:val="22"/>
              </w:rPr>
              <w:t>__________________________</w:t>
            </w:r>
            <w:r>
              <w:rPr>
                <w:rFonts w:eastAsia="Calibri" w:ascii="Calibri" w:hAnsi="Calibri"/>
                <w:spacing w:val="24"/>
                <w:sz w:val="22"/>
              </w:rPr>
              <w:t>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>О внесении изменений в Порядок осуществления весового и габаритного контроля транспортных средств, утвержденный приказом Минтранса России от 31 августа 2020 г. № 348</w:t>
      </w:r>
    </w:p>
    <w:p>
      <w:pPr>
        <w:pStyle w:val="Normal"/>
        <w:spacing w:lineRule="auto" w:line="240" w:before="0"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Cs w:val="20"/>
          <w:lang w:eastAsia="ru-RU"/>
        </w:rPr>
      </w:pPr>
      <w:r>
        <w:rPr>
          <w:spacing w:val="-2"/>
          <w:szCs w:val="28"/>
        </w:rPr>
        <w:t xml:space="preserve">В </w:t>
      </w:r>
      <w:r>
        <w:rPr>
          <w:szCs w:val="20"/>
          <w:lang w:eastAsia="ru-RU"/>
        </w:rPr>
        <w:t xml:space="preserve">соответствии с частью 9 статьи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</w:t>
        <w:br/>
        <w:t xml:space="preserve">ст. 5553; 2020, № 30, ст. 4765) и подпунктом 5.2.53.31 пункта 5 Положения </w:t>
        <w:br/>
        <w:t>о Министерстве транспорта Российской Федерации, утвержденного постановлением Правительства Российской Федерации от 30 июля 2004 г. № 395 (Собрание законодательства Российской Федерации, 2004, № 32, ст. 3342; 2009, № 3, ст. 378)</w:t>
      </w:r>
      <w:r>
        <w:rPr>
          <w:szCs w:val="28"/>
        </w:rPr>
        <w:t>,</w:t>
      </w:r>
      <w:r>
        <w:rPr>
          <w:szCs w:val="20"/>
          <w:lang w:eastAsia="ru-RU"/>
        </w:rPr>
        <w:t xml:space="preserve"> п р и к а з ы в а ю: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outlineLvl w:val="1"/>
        <w:rPr/>
      </w:pPr>
      <w:r>
        <w:rPr>
          <w:szCs w:val="28"/>
        </w:rPr>
        <w:t xml:space="preserve">Утвердить прилагаемые изменения, которые вносятся в </w:t>
      </w:r>
      <w:r>
        <w:rPr/>
        <w:t>Порядок осуществления весового и габаритного контроля транспортных средств, утвержденный приказом Минтранса России от 31 августа 2020 г. № 348 (зарегистрирован Минюстом России 4 декабря 2020 г., регистрационный № 61252).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outlineLvl w:val="1"/>
        <w:rPr/>
      </w:pPr>
      <w:r>
        <w:rPr/>
        <w:t xml:space="preserve">Настоящий приказ вступает в силу с 1 сентября 2023 г. и действует </w:t>
        <w:br/>
        <w:t>до 1 января 2027 г.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6"/>
        <w:gridCol w:w="3447"/>
      </w:tblGrid>
      <w:tr>
        <w:trPr>
          <w:trHeight w:val="80" w:hRule="atLeast"/>
        </w:trPr>
        <w:tc>
          <w:tcPr>
            <w:tcW w:w="67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Министр</w:t>
            </w:r>
          </w:p>
        </w:tc>
        <w:tc>
          <w:tcPr>
            <w:tcW w:w="34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3243" w:leader="none"/>
              </w:tabs>
              <w:spacing w:lineRule="auto" w:line="240" w:before="0" w:after="0"/>
              <w:ind w:right="-1" w:hanging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В.Г. Савельев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Calibri"/>
          <w:sz w:val="4"/>
          <w:szCs w:val="4"/>
        </w:rPr>
      </w:pPr>
      <w:r>
        <w:rPr>
          <w:rFonts w:eastAsia="Calibri"/>
          <w:sz w:val="4"/>
          <w:szCs w:val="4"/>
        </w:rPr>
      </w:r>
    </w:p>
    <w:tbl>
      <w:tblPr>
        <w:tblpPr w:bottomFromText="0" w:horzAnchor="margin" w:leftFromText="181" w:rightFromText="181" w:tblpX="0" w:tblpY="0" w:tblpYSpec="bottom" w:topFromText="0" w:vertAnchor="margin"/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04"/>
      </w:tblGrid>
      <w:tr>
        <w:trPr/>
        <w:tc>
          <w:tcPr>
            <w:tcW w:w="1020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Шилов Андрей Владимирович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(499) 495 05 30</w:t>
            </w:r>
          </w:p>
        </w:tc>
      </w:tr>
    </w:tbl>
    <w:p>
      <w:pPr>
        <w:sectPr>
          <w:type w:val="nextPage"/>
          <w:pgSz w:w="11906" w:h="16838"/>
          <w:pgMar w:left="1134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0"/>
        </w:sectPr>
      </w:pPr>
    </w:p>
    <w:p>
      <w:pPr>
        <w:pStyle w:val="Normal"/>
        <w:spacing w:lineRule="auto" w:line="240" w:before="0" w:after="0"/>
        <w:ind w:left="6662" w:hanging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УТВЕРЖДЕНЫ</w:t>
      </w:r>
    </w:p>
    <w:p>
      <w:pPr>
        <w:pStyle w:val="Normal"/>
        <w:spacing w:lineRule="auto" w:line="240" w:before="0" w:after="0"/>
        <w:ind w:left="6662" w:hanging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приказом Минтранса России</w:t>
      </w:r>
    </w:p>
    <w:p>
      <w:pPr>
        <w:pStyle w:val="Normal"/>
        <w:spacing w:lineRule="auto" w:line="240" w:before="0" w:after="1400"/>
        <w:ind w:left="6662" w:hanging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_______________ №_____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Cs w:val="28"/>
          <w:lang w:eastAsia="ru-RU"/>
        </w:rPr>
      </w:pPr>
      <w:r>
        <w:rPr>
          <w:b/>
          <w:szCs w:val="28"/>
          <w:lang w:eastAsia="ru-RU"/>
        </w:rPr>
        <w:t>И З М Е Н Е Н И Я</w:t>
      </w:r>
      <w:r>
        <w:rPr>
          <w:b/>
          <w:bCs/>
          <w:szCs w:val="28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Calibri"/>
          <w:b/>
          <w:b/>
          <w:szCs w:val="28"/>
        </w:rPr>
      </w:pPr>
      <w:r>
        <w:rPr>
          <w:b/>
          <w:szCs w:val="28"/>
          <w:lang w:eastAsia="ru-RU"/>
        </w:rPr>
        <w:t xml:space="preserve">которые вносятся в </w:t>
      </w:r>
      <w:r>
        <w:rPr>
          <w:rFonts w:eastAsia="Calibri"/>
          <w:b/>
          <w:szCs w:val="28"/>
        </w:rPr>
        <w:t xml:space="preserve">Порядок осуществления весового и габаритного контроля транспортных средств, утвержденный приказом Минтранса России </w:t>
        <w:br/>
        <w:t>от 31 августа 2020 г. № 348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Cs w:val="28"/>
          <w:lang w:eastAsia="ru-RU"/>
        </w:rPr>
      </w:pPr>
      <w:r>
        <w:rPr>
          <w:b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Cs w:val="28"/>
          <w:lang w:eastAsia="ru-RU"/>
        </w:rPr>
      </w:pPr>
      <w:r>
        <w:rPr>
          <w:b/>
          <w:szCs w:val="28"/>
          <w:lang w:eastAsia="ru-RU"/>
        </w:rPr>
      </w:r>
    </w:p>
    <w:p>
      <w:pPr>
        <w:pStyle w:val="3"/>
        <w:rPr>
          <w:rFonts w:eastAsia="Calibri"/>
          <w:szCs w:val="28"/>
        </w:rPr>
      </w:pPr>
      <w:bookmarkStart w:id="2" w:name="Par42"/>
      <w:bookmarkEnd w:id="2"/>
      <w:r>
        <w:rPr/>
        <w:t>В Порядке осуществления весового и габаритного контроля транспортных средств, утвержденном приказом Минтранса России от 31 августа 2020 г. № 348: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в подпункте 5 пункта 25 слова «колес (скатности) на осях транспортного средства» заменить словами «колес на осях транспортного средства и скатности колес»;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подпункт 4 пункта 27 изложить в следующей редакции:</w:t>
      </w:r>
    </w:p>
    <w:p>
      <w:pPr>
        <w:pStyle w:val="3"/>
        <w:rPr>
          <w:rFonts w:eastAsia="Calibri"/>
          <w:szCs w:val="28"/>
        </w:rPr>
      </w:pPr>
      <w:r>
        <w:rPr/>
        <w:t xml:space="preserve">«4) тип, модель, серийный номер средства измерений, регистрационный номер утвержденного типа средства измерений в Федеральном информационном фонде </w:t>
        <w:br/>
        <w:t>по обеспечению единства измерений, сведения о результатах поверки средства измерений (номер, дата, срок действия поверки), включенные в Федеральный информационный фонд по обеспечению единства измерений, пределы погрешности средства измерений;»;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в подпункте 5 пункта 28 слово «(скатности)» заменить словами </w:t>
        <w:br/>
        <w:t>«, скатности колес»;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в подпункте 10 пункта 29 слово «(скатности)» заменить словами </w:t>
        <w:br/>
        <w:t>«, скатности колес»;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в пункте 33:</w:t>
      </w:r>
    </w:p>
    <w:p>
      <w:pPr>
        <w:pStyle w:val="4"/>
        <w:numPr>
          <w:ilvl w:val="2"/>
          <w:numId w:val="5"/>
        </w:numPr>
        <w:ind w:left="1" w:firstLine="709"/>
        <w:rPr>
          <w:rFonts w:eastAsia="Calibri"/>
          <w:szCs w:val="28"/>
        </w:rPr>
      </w:pPr>
      <w:r>
        <w:rPr/>
        <w:t>подпункт 1 изложить в следующей редакции:</w:t>
      </w:r>
    </w:p>
    <w:p>
      <w:pPr>
        <w:pStyle w:val="3"/>
        <w:rPr>
          <w:rFonts w:eastAsia="Calibri"/>
          <w:szCs w:val="28"/>
        </w:rPr>
      </w:pPr>
      <w:r>
        <w:rPr/>
        <w:t xml:space="preserve">«1) об измерительном оборудовании: тип, модель, серийный номер, владелец оборудования, регистрационный номер утвержденного типа средства измерений </w:t>
        <w:br/>
        <w:t>в Федеральном информационном фонде по обеспечению единства измерений, сведения о результатах поверки средства измерений (номер, дата, срок действия поверки), включенные в Федеральный информационный фонд по обеспечению единства измерений, пределы погрешности средства измерений;»;</w:t>
      </w:r>
    </w:p>
    <w:p>
      <w:pPr>
        <w:pStyle w:val="4"/>
        <w:numPr>
          <w:ilvl w:val="2"/>
          <w:numId w:val="6"/>
        </w:numPr>
        <w:ind w:left="1" w:firstLine="709"/>
        <w:rPr>
          <w:rFonts w:eastAsia="Calibri"/>
          <w:szCs w:val="28"/>
        </w:rPr>
      </w:pPr>
      <w:r>
        <w:rPr/>
        <w:t>в подпункте 4 слова «фактическая скатность (количество колес) оси» заменить словами «фактическое количество колес на оси и скатность колес»;</w:t>
      </w:r>
    </w:p>
    <w:p>
      <w:pPr>
        <w:pStyle w:val="4"/>
        <w:numPr>
          <w:ilvl w:val="2"/>
          <w:numId w:val="7"/>
        </w:numPr>
        <w:ind w:left="1" w:firstLine="709"/>
        <w:rPr>
          <w:rFonts w:eastAsia="Calibri"/>
          <w:szCs w:val="28"/>
        </w:rPr>
      </w:pPr>
      <w:r>
        <w:rPr/>
        <w:t>дополнить подпунктом 8 следующего содержания:</w:t>
      </w:r>
    </w:p>
    <w:p>
      <w:pPr>
        <w:pStyle w:val="3"/>
        <w:rPr>
          <w:rFonts w:eastAsia="Calibri"/>
          <w:szCs w:val="28"/>
        </w:rPr>
      </w:pPr>
      <w:r>
        <w:rPr/>
        <w:t xml:space="preserve">«8) о дате проведения последней проверки функционирования АПВГК, </w:t>
        <w:br/>
        <w:t>в результате которой подтверждено соответствие фактической погрешности измерений на АПВГК пределам погрешности измерений, указанным в описании типа средства измерений АПВГК.»;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в абзаце третьем пункта 38 слова «скатности (количества колес) оси» заменить словами «количества колес на оси и скатности колес»;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в абзаце четвертом пункта 39 слова «прямые с допустимым радиусом» заменить словами «допустимый радиус»;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абзац второй пункта 41 дополнить словами «, а при наличии барьерного ограждения – с захватом краевой полосы до барьерного ограждения. </w:t>
        <w:br/>
        <w:t xml:space="preserve">На введенных в эксплуатацию АПВГК допускается не устанавливать оборудование измерения нагрузок на оси транспортных средств до барьерного ограждения </w:t>
        <w:br/>
        <w:t xml:space="preserve">на период до капитального ремонта, реконструкции соответствующего участка автомобильной дороги, в случае невозможности установки такого оборудования </w:t>
        <w:br/>
        <w:t>в рамках работ по ремонту или содержанию участка автомобильной дороги»;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в пункте 45 слова «на расстоянии (не менее чем» заменить словами </w:t>
        <w:br/>
        <w:t>«(на расстоянии не менее чем»;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дополнить разделом </w:t>
      </w:r>
      <w:r>
        <w:rPr>
          <w:lang w:val="en-US"/>
        </w:rPr>
        <w:t>V</w:t>
      </w:r>
      <w:r>
        <w:rPr/>
        <w:t xml:space="preserve"> следующего содержания:</w:t>
      </w:r>
    </w:p>
    <w:p>
      <w:pPr>
        <w:pStyle w:val="3"/>
        <w:ind w:hanging="0"/>
        <w:jc w:val="center"/>
        <w:rPr>
          <w:rFonts w:eastAsia="Calibri"/>
          <w:szCs w:val="28"/>
        </w:rPr>
      </w:pPr>
      <w:r>
        <w:rPr/>
      </w:r>
    </w:p>
    <w:p>
      <w:pPr>
        <w:pStyle w:val="3"/>
        <w:ind w:hanging="0"/>
        <w:jc w:val="center"/>
        <w:rPr>
          <w:rFonts w:eastAsia="Calibri"/>
          <w:szCs w:val="28"/>
        </w:rPr>
      </w:pPr>
      <w:r>
        <w:rPr/>
        <w:t>«</w:t>
      </w:r>
      <w:r>
        <w:rPr>
          <w:lang w:val="en-US"/>
        </w:rPr>
        <w:t>V</w:t>
      </w:r>
      <w:r>
        <w:rPr/>
        <w:t xml:space="preserve">. Мониторинг функционирования автоматических пунктов </w:t>
        <w:br/>
        <w:t>весогабаритного контроля транспортных средств</w:t>
      </w:r>
    </w:p>
    <w:p>
      <w:pPr>
        <w:pStyle w:val="3"/>
        <w:ind w:hanging="0"/>
        <w:jc w:val="center"/>
        <w:rPr>
          <w:rFonts w:eastAsia="Calibri"/>
          <w:szCs w:val="28"/>
        </w:rPr>
      </w:pPr>
      <w:r>
        <w:rPr/>
      </w:r>
    </w:p>
    <w:p>
      <w:pPr>
        <w:pStyle w:val="1"/>
        <w:numPr>
          <w:ilvl w:val="0"/>
          <w:numId w:val="8"/>
        </w:numPr>
        <w:rPr>
          <w:rFonts w:eastAsia="Calibri"/>
          <w:szCs w:val="28"/>
        </w:rPr>
      </w:pPr>
      <w:r>
        <w:rPr/>
        <w:t xml:space="preserve">Владелец автомобильной дороги или оператор АПВГК обеспечивают проведение не реже одного раза в 100 дней в интервале между поверками </w:t>
        <w:br/>
        <w:t xml:space="preserve">(далее – межповерочный интервал) АПВГК проверку соответствия фактической погрешности измерений АПВГК пределам погрешности измерений, указанным </w:t>
        <w:br/>
        <w:t>в описании типа средства измерений АПВГК в отношении нагрузки на ось, массы, длины, ширины, высоты, межосевых расстояний транспортного средства, а также проверку корректности определения на АПВГК скатности колес на осях транспортного средства (далее – проверка).</w:t>
      </w:r>
    </w:p>
    <w:p>
      <w:pPr>
        <w:pStyle w:val="3"/>
        <w:rPr>
          <w:rFonts w:eastAsia="Calibri"/>
          <w:szCs w:val="28"/>
        </w:rPr>
      </w:pPr>
      <w:r>
        <w:rPr/>
        <w:t xml:space="preserve">Проверка осуществляется с использованием транспортного средства </w:t>
        <w:br/>
        <w:t>с тремя или более осями (далее – контрольное транспортное средство).</w:t>
      </w:r>
    </w:p>
    <w:p>
      <w:pPr>
        <w:pStyle w:val="1"/>
        <w:rPr>
          <w:rFonts w:eastAsia="Calibri"/>
          <w:szCs w:val="28"/>
        </w:rPr>
      </w:pPr>
      <w:r>
        <w:rPr/>
        <w:t xml:space="preserve">С использованием оборудования, предназначенного для взвешивания транспортных средств в статическом или в динамическом (при скорости движения </w:t>
        <w:br/>
        <w:t xml:space="preserve">от 1 км/ч до 5 км/ч) состояниях (далее – контрольные весы), осуществляется измерение нагрузок, передаваемых осями контрольного транспортного средства </w:t>
        <w:br/>
        <w:t>на опорную поверхность (нагрузка на ось).</w:t>
      </w:r>
    </w:p>
    <w:p>
      <w:pPr>
        <w:pStyle w:val="3"/>
        <w:rPr>
          <w:rFonts w:eastAsia="Calibri"/>
          <w:szCs w:val="28"/>
        </w:rPr>
      </w:pPr>
      <w:r>
        <w:rPr/>
        <w:t xml:space="preserve">Измерения проводятся не менее 3 раз с последующим вычислением </w:t>
        <w:br/>
        <w:t>и фиксацией в акте проверки функционирования АПВГК контрольных значений нагрузок на оси и массы транспортного средства путем расчета среднего арифметического значения.</w:t>
      </w:r>
    </w:p>
    <w:p>
      <w:pPr>
        <w:pStyle w:val="3"/>
        <w:rPr>
          <w:rFonts w:eastAsia="Calibri"/>
          <w:szCs w:val="28"/>
        </w:rPr>
      </w:pPr>
      <w:r>
        <w:rPr/>
        <w:t>Контрольные весы должны быть утвержденного типа и поверены. Их пределы погрешности измерений не должны превышать 1/3 значений пределов погрешности измерений, указанных в описании типа средства измерений проверяемого АПВГК.</w:t>
      </w:r>
    </w:p>
    <w:p>
      <w:pPr>
        <w:pStyle w:val="1"/>
        <w:rPr>
          <w:rFonts w:eastAsia="Calibri"/>
          <w:szCs w:val="28"/>
        </w:rPr>
      </w:pPr>
      <w:r>
        <w:rPr/>
        <w:t xml:space="preserve">С использованием рулетки металлической (цена деления не более </w:t>
        <w:br/>
        <w:t xml:space="preserve">0,01 метра) или дальномера лазерного осуществляется измерение с последующей фиксацией (округление результата с точностью до 0,01 метра) в акте проверки функционирования АПВГК контрольных значений длины, ширины, высоты </w:t>
        <w:br/>
        <w:t>и межосевых расстояний контрольного транспортного средства.</w:t>
      </w:r>
    </w:p>
    <w:p>
      <w:pPr>
        <w:pStyle w:val="3"/>
        <w:rPr>
          <w:rFonts w:eastAsia="Calibri"/>
          <w:szCs w:val="28"/>
        </w:rPr>
      </w:pPr>
      <w:r>
        <w:rPr/>
        <w:t xml:space="preserve">Рулетка металлическая и дальномер лазерный должны быть утвержденного типа и поверены. Их пределы погрешности измерений не должны превышать </w:t>
        <w:br/>
        <w:t>1/3 значений пределов погрешности измерений, указанных в описании типа средства измерений проверяемого АПВГК.</w:t>
      </w:r>
    </w:p>
    <w:p>
      <w:pPr>
        <w:pStyle w:val="1"/>
        <w:rPr>
          <w:rFonts w:eastAsia="Calibri"/>
          <w:szCs w:val="28"/>
        </w:rPr>
      </w:pPr>
      <w:r>
        <w:rPr/>
        <w:t>Визуально определяются количество осей и скатность колес на каждой оси контрольного транспортного средства с последующей фиксацией контрольных значений в акте проверки функционирования АПВГК.</w:t>
      </w:r>
    </w:p>
    <w:p>
      <w:pPr>
        <w:pStyle w:val="1"/>
        <w:rPr>
          <w:rFonts w:eastAsia="Calibri"/>
          <w:szCs w:val="28"/>
        </w:rPr>
      </w:pPr>
      <w:r>
        <w:rPr/>
        <w:t xml:space="preserve">Через участок автомобильной дороги, указанный в пункте 39 настоящего Порядка, осуществляются проезды контрольного транспортного средства не менее </w:t>
        <w:br/>
        <w:t>3 раз по каждой полосе движения.</w:t>
      </w:r>
    </w:p>
    <w:p>
      <w:pPr>
        <w:pStyle w:val="3"/>
        <w:rPr>
          <w:rFonts w:eastAsia="Calibri"/>
          <w:szCs w:val="28"/>
        </w:rPr>
      </w:pPr>
      <w:r>
        <w:rPr/>
        <w:t xml:space="preserve">Проезды контрольного транспортного средства должны быть обеспечены </w:t>
        <w:br/>
        <w:t xml:space="preserve">со следующими скоростями движения по каждой полосе движения: </w:t>
        <w:br/>
        <w:t xml:space="preserve">1/3 от значения разрешенной скорости для данного участка автомобильной дороги </w:t>
        <w:br/>
        <w:t>(± 5 км/ч), 2/3 от значения разрешенной скорости для данного участка автомобильной дороги (± 5 км/ч), разрешенная скорость для данного участка автомобильной дороги (± 5 км/ч).</w:t>
      </w:r>
    </w:p>
    <w:p>
      <w:pPr>
        <w:pStyle w:val="3"/>
        <w:rPr>
          <w:rFonts w:eastAsia="Calibri"/>
          <w:szCs w:val="28"/>
        </w:rPr>
      </w:pPr>
      <w:r>
        <w:rPr/>
        <w:t>По итогам каждого проезда в акте проверки функционирования АПВГК фиксируются измеренные АПВГК значения нагрузок на оси, массы, длины, ширины, высоты и межосевых расстояний контрольного транспортного средства, а также фактическая погрешность измерений по каждому из значений.</w:t>
      </w:r>
    </w:p>
    <w:p>
      <w:pPr>
        <w:pStyle w:val="1"/>
        <w:rPr>
          <w:szCs w:val="28"/>
        </w:rPr>
      </w:pPr>
      <w:r>
        <w:rPr>
          <w:szCs w:val="28"/>
        </w:rPr>
        <w:t xml:space="preserve">Фактическая относительная погрешность </w:t>
      </w:r>
      <w:r>
        <w:rPr/>
        <w:t xml:space="preserve">измерений нагрузки на ось </w:t>
        <w:br/>
        <w:t>и массы контрольного транспортного средства на АПВГК</w:t>
      </w:r>
      <w:r>
        <w:rPr>
          <w:szCs w:val="28"/>
        </w:rPr>
        <w:t xml:space="preserve"> (</w:t>
      </w:r>
      <w:r>
        <w:rPr>
          <w:rFonts w:eastAsia="Calibri"/>
          <w:szCs w:val="28"/>
        </w:rPr>
        <w:t>δ</w:t>
      </w:r>
      <w:r>
        <w:rPr>
          <w:rFonts w:eastAsia="Calibri"/>
          <w:szCs w:val="28"/>
          <w:vertAlign w:val="subscript"/>
          <w:lang w:val="en-US"/>
        </w:rPr>
        <w:t>im</w:t>
      </w:r>
      <w:r>
        <w:rPr>
          <w:szCs w:val="28"/>
        </w:rPr>
        <w:t xml:space="preserve">) рассчитывается </w:t>
        <w:br/>
        <w:t>по следующей формуле:</w:t>
      </w:r>
    </w:p>
    <w:p>
      <w:pPr>
        <w:pStyle w:val="3"/>
        <w:ind w:hanging="0"/>
        <w:jc w:val="center"/>
        <w:rPr>
          <w:lang w:val="en-US"/>
        </w:rPr>
      </w:pPr>
      <w:r>
        <w:rPr>
          <w:rFonts w:eastAsia="Calibri"/>
          <w:szCs w:val="28"/>
        </w:rPr>
        <w:t>δ</w:t>
      </w:r>
      <w:r>
        <w:rPr>
          <w:rFonts w:eastAsia="Calibri"/>
          <w:szCs w:val="28"/>
          <w:vertAlign w:val="subscript"/>
          <w:lang w:val="en-US"/>
        </w:rPr>
        <w:t>im</w:t>
      </w:r>
      <w:r>
        <w:rPr>
          <w:rFonts w:eastAsia="Calibri"/>
          <w:szCs w:val="28"/>
          <w:lang w:val="en-US"/>
        </w:rPr>
        <w:t xml:space="preserve"> = ((</w:t>
      </w:r>
      <w:r>
        <w:rPr>
          <w:lang w:val="en-US"/>
        </w:rPr>
        <w:t>I</w:t>
      </w:r>
      <w:r>
        <w:rPr>
          <w:vertAlign w:val="subscript"/>
          <w:lang w:val="en-US"/>
        </w:rPr>
        <w:t>im</w:t>
      </w:r>
      <w:r>
        <w:rPr>
          <w:lang w:val="en-US"/>
        </w:rPr>
        <w:t xml:space="preserve"> – I</w:t>
      </w:r>
      <w:r>
        <w:rPr>
          <w:vertAlign w:val="subscript"/>
          <w:lang w:val="en-US"/>
        </w:rPr>
        <w:t>rm</w:t>
      </w:r>
      <w:r>
        <w:rPr>
          <w:lang w:val="en-US"/>
        </w:rPr>
        <w:t>) / I</w:t>
      </w:r>
      <w:r>
        <w:rPr>
          <w:vertAlign w:val="subscript"/>
          <w:lang w:val="en-US"/>
        </w:rPr>
        <w:t>rm</w:t>
      </w:r>
      <w:r>
        <w:rPr>
          <w:lang w:val="en-US"/>
        </w:rPr>
        <w:t xml:space="preserve"> )× 100 %,</w:t>
      </w:r>
    </w:p>
    <w:p>
      <w:pPr>
        <w:pStyle w:val="3"/>
        <w:rPr>
          <w:lang w:val="en-US"/>
        </w:rPr>
      </w:pPr>
      <w:r>
        <w:rPr/>
        <w:t>где</w:t>
      </w:r>
      <w:r>
        <w:rPr>
          <w:lang w:val="en-US"/>
        </w:rPr>
        <w:t>:</w:t>
      </w:r>
    </w:p>
    <w:p>
      <w:pPr>
        <w:pStyle w:val="3"/>
        <w:rPr>
          <w:rFonts w:eastAsia="Calibri"/>
          <w:szCs w:val="28"/>
        </w:rPr>
      </w:pPr>
      <w:r>
        <w:rPr>
          <w:lang w:val="en-US"/>
        </w:rPr>
        <w:t>I</w:t>
      </w:r>
      <w:r>
        <w:rPr>
          <w:vertAlign w:val="subscript"/>
          <w:lang w:val="en-US"/>
        </w:rPr>
        <w:t>im</w:t>
      </w:r>
      <w:r>
        <w:rPr/>
        <w:t xml:space="preserve"> – значение результата измерений параметра (нагрузка на ось или масса контрольного транспортного средства) на АПВГК;</w:t>
      </w:r>
    </w:p>
    <w:p>
      <w:pPr>
        <w:pStyle w:val="3"/>
        <w:rPr>
          <w:rFonts w:eastAsia="Calibri"/>
          <w:szCs w:val="28"/>
        </w:rPr>
      </w:pPr>
      <w:r>
        <w:rPr>
          <w:lang w:val="en-US"/>
        </w:rPr>
        <w:t>I</w:t>
      </w:r>
      <w:r>
        <w:rPr>
          <w:vertAlign w:val="subscript"/>
          <w:lang w:val="en-US"/>
        </w:rPr>
        <w:t>rm</w:t>
      </w:r>
      <w:r>
        <w:rPr/>
        <w:t xml:space="preserve"> – контрольное значение параметра (нагрузка на ось или масса контрольного транспортного средства).</w:t>
      </w:r>
    </w:p>
    <w:p>
      <w:pPr>
        <w:pStyle w:val="3"/>
        <w:rPr>
          <w:rFonts w:eastAsia="Calibri"/>
          <w:szCs w:val="28"/>
        </w:rPr>
      </w:pPr>
      <w:r>
        <w:rPr/>
        <w:t xml:space="preserve">Фактическая абсолютная погрешность измерений длины, ширины, высоты </w:t>
        <w:br/>
        <w:t>и межосевых расстояний контрольного транспортного средства на АПВГК (δ</w:t>
      </w:r>
      <w:r>
        <w:rPr>
          <w:vertAlign w:val="subscript"/>
        </w:rPr>
        <w:t>i</w:t>
      </w:r>
      <w:r>
        <w:rPr>
          <w:vertAlign w:val="subscript"/>
          <w:lang w:val="en-GB"/>
        </w:rPr>
        <w:t>g</w:t>
      </w:r>
      <w:r>
        <w:rPr/>
        <w:t>) рассчитывается по следующей формуле:</w:t>
      </w:r>
    </w:p>
    <w:p>
      <w:pPr>
        <w:pStyle w:val="3"/>
        <w:ind w:hanging="0"/>
        <w:jc w:val="center"/>
        <w:rPr>
          <w:rFonts w:eastAsia="Calibri"/>
          <w:szCs w:val="28"/>
        </w:rPr>
      </w:pPr>
      <w:r>
        <w:rPr/>
        <w:t>δ</w:t>
      </w:r>
      <w:r>
        <w:rPr>
          <w:vertAlign w:val="subscript"/>
          <w:lang w:val="en-US"/>
        </w:rPr>
        <w:t>i</w:t>
      </w:r>
      <w:r>
        <w:rPr>
          <w:vertAlign w:val="subscript"/>
          <w:lang w:val="en-GB"/>
        </w:rPr>
        <w:t>g</w:t>
      </w:r>
      <w:r>
        <w:rPr/>
        <w:t xml:space="preserve"> = </w:t>
      </w:r>
      <w:r>
        <w:rPr>
          <w:lang w:val="en-US"/>
        </w:rPr>
        <w:t>I</w:t>
      </w:r>
      <w:r>
        <w:rPr>
          <w:vertAlign w:val="subscript"/>
          <w:lang w:val="en-US"/>
        </w:rPr>
        <w:t>i</w:t>
      </w:r>
      <w:r>
        <w:rPr>
          <w:vertAlign w:val="subscript"/>
          <w:lang w:val="en-GB"/>
        </w:rPr>
        <w:t>g</w:t>
      </w:r>
      <w:r>
        <w:rPr/>
        <w:t xml:space="preserve"> – </w:t>
      </w:r>
      <w:r>
        <w:rPr>
          <w:lang w:val="en-US"/>
        </w:rPr>
        <w:t>I</w:t>
      </w:r>
      <w:r>
        <w:rPr>
          <w:vertAlign w:val="subscript"/>
          <w:lang w:val="en-US"/>
        </w:rPr>
        <w:t>rg</w:t>
      </w:r>
      <w:r>
        <w:rPr/>
        <w:t>,</w:t>
      </w:r>
    </w:p>
    <w:p>
      <w:pPr>
        <w:pStyle w:val="3"/>
        <w:rPr>
          <w:rFonts w:eastAsia="Calibri"/>
          <w:szCs w:val="28"/>
        </w:rPr>
      </w:pPr>
      <w:r>
        <w:rPr/>
        <w:t>где:</w:t>
      </w:r>
    </w:p>
    <w:p>
      <w:pPr>
        <w:pStyle w:val="3"/>
        <w:rPr>
          <w:rFonts w:eastAsia="Calibri"/>
          <w:szCs w:val="28"/>
        </w:rPr>
      </w:pPr>
      <w:r>
        <w:rPr>
          <w:lang w:val="en-US"/>
        </w:rPr>
        <w:t>I</w:t>
      </w:r>
      <w:r>
        <w:rPr>
          <w:vertAlign w:val="subscript"/>
          <w:lang w:val="en-US"/>
        </w:rPr>
        <w:t>ig</w:t>
      </w:r>
      <w:r>
        <w:rPr/>
        <w:t xml:space="preserve"> – значение результата измерений параметра (длина, ширина, высота </w:t>
        <w:br/>
        <w:t>или межосевое расстояние контрольного транспортного средства) на АПВГК;</w:t>
      </w:r>
    </w:p>
    <w:p>
      <w:pPr>
        <w:pStyle w:val="3"/>
        <w:rPr>
          <w:rFonts w:eastAsia="Calibri"/>
          <w:szCs w:val="28"/>
        </w:rPr>
      </w:pPr>
      <w:r>
        <w:rPr>
          <w:lang w:val="en-US"/>
        </w:rPr>
        <w:t>I</w:t>
      </w:r>
      <w:r>
        <w:rPr>
          <w:vertAlign w:val="subscript"/>
          <w:lang w:val="en-US"/>
        </w:rPr>
        <w:t>rg</w:t>
      </w:r>
      <w:r>
        <w:rPr/>
        <w:t xml:space="preserve"> – контрольное значение параметра (длина, ширина, высота или межосевое расстояние контрольного транспортного средства).</w:t>
      </w:r>
    </w:p>
    <w:p>
      <w:pPr>
        <w:pStyle w:val="1"/>
        <w:rPr>
          <w:szCs w:val="28"/>
        </w:rPr>
      </w:pPr>
      <w:r>
        <w:rPr/>
        <w:t xml:space="preserve">Оценка соответствия значений фактической погрешности измерений </w:t>
      </w:r>
      <w:r>
        <w:rPr>
          <w:szCs w:val="28"/>
        </w:rPr>
        <w:t>нагрузок на оси</w:t>
      </w:r>
      <w:r>
        <w:rPr/>
        <w:t>, массы</w:t>
      </w:r>
      <w:r>
        <w:rPr>
          <w:szCs w:val="28"/>
        </w:rPr>
        <w:t>, длины, ширины, высоты и межосевых расстояний</w:t>
      </w:r>
      <w:r>
        <w:rPr/>
        <w:t>, полученных при измерении контрольного транспортного средства при проезде через АПВГК, пределам погрешности измерений, указанным в описании типа средства измерений проверяемого АПВГК, проводится методом их сравнения. Результат фиксируется в акте проверки функционирования АПВГК</w:t>
      </w:r>
      <w:r>
        <w:rPr>
          <w:szCs w:val="28"/>
        </w:rPr>
        <w:t>.</w:t>
      </w:r>
    </w:p>
    <w:p>
      <w:pPr>
        <w:pStyle w:val="3"/>
        <w:rPr>
          <w:rFonts w:eastAsia="Calibri"/>
          <w:szCs w:val="28"/>
        </w:rPr>
      </w:pPr>
      <w:r>
        <w:rPr/>
        <w:t xml:space="preserve">Значения фактической погрешности измерений длины, ширины, высоты </w:t>
        <w:br/>
        <w:t>и межосевых расстояний контрольного транспортного средства на АПВГК не должны превышать пределы погрешности измерений, указанные в описании типа средства измерений проверяемого АПВГК.</w:t>
      </w:r>
    </w:p>
    <w:p>
      <w:pPr>
        <w:pStyle w:val="1"/>
        <w:rPr>
          <w:rFonts w:eastAsia="Calibri"/>
          <w:szCs w:val="28"/>
        </w:rPr>
      </w:pPr>
      <w:r>
        <w:rPr>
          <w:szCs w:val="28"/>
        </w:rPr>
        <w:t xml:space="preserve">Оценка корректности </w:t>
      </w:r>
      <w:r>
        <w:rPr/>
        <w:t xml:space="preserve">определения на АПВГК количества осей и </w:t>
      </w:r>
      <w:r>
        <w:rPr>
          <w:szCs w:val="28"/>
        </w:rPr>
        <w:t xml:space="preserve">скатности колес на осях контрольного транспортного средства </w:t>
      </w:r>
      <w:r>
        <w:rPr/>
        <w:t>проводится методом сравнения значений, определенных визуально и зафиксированных АПВГК</w:t>
      </w:r>
      <w:r>
        <w:rPr>
          <w:szCs w:val="28"/>
        </w:rPr>
        <w:t>.</w:t>
      </w:r>
    </w:p>
    <w:p>
      <w:pPr>
        <w:pStyle w:val="3"/>
        <w:rPr>
          <w:rFonts w:eastAsia="Calibri"/>
          <w:szCs w:val="28"/>
        </w:rPr>
      </w:pPr>
      <w:r>
        <w:rPr/>
        <w:t>Значения количества осей и скатности колес</w:t>
      </w:r>
      <w:r>
        <w:rPr>
          <w:szCs w:val="28"/>
        </w:rPr>
        <w:t xml:space="preserve"> на осях контрольного транспортного средства</w:t>
      </w:r>
      <w:r>
        <w:rPr/>
        <w:t>, зафиксированные на АПВГК, должны соответствовать значениям, определенным визуально.</w:t>
      </w:r>
    </w:p>
    <w:p>
      <w:pPr>
        <w:pStyle w:val="1"/>
        <w:rPr>
          <w:rFonts w:eastAsia="Calibri"/>
          <w:szCs w:val="28"/>
        </w:rPr>
      </w:pPr>
      <w:r>
        <w:rPr/>
        <w:t>Акт проверки функционирования АПВГК содержит следующую информацию: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о дате проведения проверки;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об измерительном оборудовании АПВГК: тип, модель, серийный номер оборудования, регистрационный номер утвержденного типа средства измерений </w:t>
        <w:br/>
        <w:t>в Федеральном информационном фонде по обеспечению единства измерений, сведения о результатах поверки средства измерений (номер, дата, срок действия поверки), включенные в Федеральный информационный фонд по обеспечению единства измерений, пределы погрешности измерений;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о месте расположения АПВГК (километр + метр, географические координаты);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о наименовании автомобильной дороги;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об измерительном оборудовании, используемом для контрольных измерений (контрольные весы, рулетка металлическая или дальномер лазерный): наименование, тип, модель, серийный номер оборудования, регистрационный номер утвержденного типа средства измерений в Федеральном информационном фонде по обеспечению единства измерений, сведения о результатах поверки средства измерений (номер, дата, срок действия поверки), включенные в Федеральный информационный фонд </w:t>
        <w:br/>
        <w:t>по обеспечению единства измерений, пределы погрешности средства измерений;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о контрольном транспортном средстве: марка, модель, государственный регистрационный номер, описание груза (при наличии);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о результатах измерений весовых параметров контрольного транспортного средства: на контрольных весах (контрольные значения), на АПВГК (на каждой полосе движения при скоростях движения, предусмотренных пунктом 53 настоящего Порядка);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о результатах измерений габаритных параметров контрольного транспортного средства: результаты контрольных измерений (контрольные значения), результаты измерений на АПВГК (на каждой полосе движения </w:t>
        <w:br/>
        <w:t>при скоростях движения, предусмотренных пунктом 53 настоящего Порядка);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о результатах измерений межосевых расстояний контрольного транспортного средства: результаты контрольных измерений (контрольные значения), результаты измерений на АПВГК (на каждой полосе движения </w:t>
        <w:br/>
        <w:t>при скоростях движения, предусмотренных пунктом 53 настоящего Порядка);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о результатах определения количества осей и скатности колес на осях контрольного транспортного средства: результаты визуальной оценки, результаты определений на АПВГК (на каждой полосе движения при скоростях движения, предусмотренных пунктом 53 настоящего Порядка);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о фактической погрешности измерений на АПВГК, определяемой </w:t>
        <w:br/>
        <w:t>в соответствии с пунктом 54 настоящего Порядка;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 xml:space="preserve">о соответствии или несоответствии фактической погрешности измерений </w:t>
        <w:br/>
        <w:t xml:space="preserve">на АПВГК, выявленном по результатам проверки АПВГК, пределам погрешности измерений, указанным в описании типа средства измерений проверяемого АПВГК, </w:t>
        <w:br/>
        <w:t xml:space="preserve">а также о корректности определения на АПВГК количества осей и скатности колес </w:t>
        <w:br/>
        <w:t>на осях контрольного транспортного средства;</w:t>
      </w:r>
    </w:p>
    <w:p>
      <w:pPr>
        <w:pStyle w:val="2"/>
        <w:ind w:left="1" w:firstLine="709"/>
        <w:rPr>
          <w:rFonts w:eastAsia="Calibri"/>
          <w:szCs w:val="28"/>
        </w:rPr>
      </w:pPr>
      <w:r>
        <w:rPr/>
        <w:t>о наименовании организации, проводившей проверку.</w:t>
      </w:r>
    </w:p>
    <w:p>
      <w:pPr>
        <w:pStyle w:val="1"/>
        <w:rPr>
          <w:rFonts w:eastAsia="Calibri"/>
          <w:szCs w:val="28"/>
        </w:rPr>
      </w:pPr>
      <w:r>
        <w:rPr/>
        <w:t>Акт проверки функционирования АПВГК подписывается организацией, проводившей проверку, а также владельцем автомобильной дороги или оператором АПВГК, с указанием фамилии, имени, отчества и должности лиц, его подписавших. Акт проверки функционирования АПВГК составляется в 2 экземплярах и передается по 1 экземпляру организации, проводившей проверку, и владельцу автомобильной дороги или оператору АПВГК.</w:t>
      </w:r>
    </w:p>
    <w:p>
      <w:pPr>
        <w:pStyle w:val="1"/>
        <w:rPr>
          <w:rFonts w:eastAsia="Calibri"/>
          <w:szCs w:val="28"/>
        </w:rPr>
      </w:pPr>
      <w:r>
        <w:rPr/>
        <w:t>При выявлении в межповерочный интервал при проведении проверки несоответствия фактической погрешности измерений на АПВГК пределам погрешности измерений, указанным в описании типа средства измерений АПВГК, предусмотренная пунктом 34 настоящего Порядка передача в уполномоченный контрольно-надзорный орган информации приостанавливается с даты проведения указанной проверки на период, необходимый для устранения причин появления зафиксированных в акте проверки функционирования АПВГК несоответствий.</w:t>
      </w:r>
    </w:p>
    <w:p>
      <w:pPr>
        <w:pStyle w:val="1"/>
        <w:rPr>
          <w:rFonts w:eastAsia="Calibri"/>
          <w:szCs w:val="28"/>
        </w:rPr>
      </w:pPr>
      <w:r>
        <w:rPr/>
        <w:t xml:space="preserve">Если устранение зафиксированных при проверке несоответствий привело </w:t>
        <w:br/>
        <w:t xml:space="preserve">к изменению метрологически значимых параметров АПВГК, то период, указанный </w:t>
        <w:br/>
        <w:t>в пункте 59 настоящего Порядка, продлевается на время выполнения в установленном законодательством Российской Федерации</w:t>
      </w:r>
      <w:r>
        <w:rPr>
          <w:rStyle w:val="Style13"/>
        </w:rPr>
        <w:footnoteReference w:id="2"/>
      </w:r>
      <w:r>
        <w:rPr>
          <w:vertAlign w:val="superscript"/>
        </w:rPr>
        <w:t>2</w:t>
      </w:r>
      <w:r>
        <w:rPr/>
        <w:t xml:space="preserve"> порядке поверки такого АПВГК.</w:t>
      </w:r>
    </w:p>
    <w:p>
      <w:pPr>
        <w:pStyle w:val="1"/>
        <w:rPr>
          <w:rFonts w:eastAsia="Calibri"/>
          <w:szCs w:val="28"/>
        </w:rPr>
      </w:pPr>
      <w:r>
        <w:rPr/>
        <w:t xml:space="preserve">На период приостановления эксплуатации АПВГК требования </w:t>
        <w:br/>
        <w:t>к проведению проверки не применяются.</w:t>
      </w:r>
    </w:p>
    <w:p>
      <w:pPr>
        <w:pStyle w:val="1"/>
        <w:rPr>
          <w:rFonts w:eastAsia="Calibri"/>
          <w:szCs w:val="28"/>
        </w:rPr>
      </w:pPr>
      <w:r>
        <w:rPr/>
        <w:t xml:space="preserve">Факт устранения причин несоответствий, зафиксированных при проверке, подтверждается результатами повторной проверки или в установленном настоящем Порядком случае сведениями о результатах поверки АПВГК, включенными </w:t>
        <w:br/>
        <w:t>в Федеральный информационный фонд по обеспечению единства измерений, дата которой превышает дату проведения последней проверки.</w:t>
      </w:r>
    </w:p>
    <w:p>
      <w:pPr>
        <w:pStyle w:val="1"/>
        <w:rPr>
          <w:rFonts w:eastAsia="Calibri"/>
          <w:szCs w:val="28"/>
        </w:rPr>
      </w:pPr>
      <w:r>
        <w:rPr/>
        <w:t xml:space="preserve">Срок хранения актов проверок функционирования АПВГК составляет </w:t>
        <w:br/>
        <w:t xml:space="preserve">3 года. </w:t>
      </w:r>
      <w:bookmarkStart w:id="3" w:name="_GoBack"/>
      <w:r>
        <w:rPr/>
        <w:t>Копии актов проверок функционирования АПВГК направляются владельцем автомобильной дороги или оператором АПВГК в уполномоченный контрольно-надзорный орган</w:t>
      </w:r>
      <w:bookmarkEnd w:id="3"/>
      <w:r>
        <w:rPr/>
        <w:t>.</w:t>
      </w:r>
      <w:r>
        <w:rPr>
          <w:szCs w:val="28"/>
        </w:rPr>
        <w:t>».</w:t>
      </w:r>
    </w:p>
    <w:sectPr>
      <w:headerReference w:type="default" r:id="rId3"/>
      <w:headerReference w:type="first" r:id="rId4"/>
      <w:footnotePr>
        <w:numFmt w:val="decimal"/>
      </w:footnotePr>
      <w:type w:val="nextPage"/>
      <w:pgSz w:w="11906" w:h="16838"/>
      <w:pgMar w:left="1134" w:right="567" w:header="510" w:top="1134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2"/>
        <w:jc w:val="both"/>
        <w:rPr>
          <w:lang w:val="ru-RU"/>
        </w:rPr>
      </w:pPr>
      <w:r>
        <w:rPr>
          <w:rStyle w:val="Style22"/>
        </w:rPr>
        <w:footnoteRef/>
      </w:r>
      <w:r>
        <w:rPr>
          <w:vertAlign w:val="superscript"/>
          <w:lang w:val="ru-RU"/>
        </w:rPr>
        <w:t>12</w:t>
      </w:r>
      <w:r>
        <w:rPr/>
        <w:t> </w:t>
      </w:r>
      <w:r>
        <w:rPr>
          <w:lang w:val="ru-RU"/>
        </w:rPr>
        <w:t>Приказ Минпромторга России от 31 июля 2020 г. № 2510 «Об утверждении порядка проведения поверки средств измерений, требований к знаку поверки и содержанию свидетельства о поверке» (зарегистрирован Минюстом России 20 ноября 2020 г., регистрационный № 61033, действует до 1 января 2027 г.).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tabs>
        <w:tab w:val="clear" w:pos="4677"/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tabs>
        <w:tab w:val="clear" w:pos="4677"/>
        <w:tab w:val="clear" w:pos="9355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pStyle w:val="2"/>
      <w:numFmt w:val="decimal"/>
      <w:suff w:val="space"/>
      <w:lvlText w:val="%2)"/>
      <w:lvlJc w:val="left"/>
      <w:pPr>
        <w:tabs>
          <w:tab w:val="num" w:pos="0"/>
        </w:tabs>
        <w:ind w:left="6805" w:firstLine="709"/>
      </w:pPr>
    </w:lvl>
    <w:lvl w:ilvl="2">
      <w:start w:val="1"/>
      <w:pStyle w:val="4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170"/>
      </w:pPr>
      <w:rPr>
        <w:b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709"/>
      </w:pPr>
      <w:rPr>
        <w:b w:val="false"/>
      </w:r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6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6805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6805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709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709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709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709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709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709"/>
        </w:pPr>
      </w:lvl>
    </w:lvlOverride>
  </w:num>
  <w:num w:numId="6">
    <w:abstractNumId w:val="1"/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709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709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709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709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709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709"/>
        </w:pPr>
      </w:lvl>
    </w:lvlOverride>
  </w:num>
  <w:num w:numId="7">
    <w:abstractNumId w:val="1"/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709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709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709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709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709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709"/>
        </w:pPr>
      </w:lvl>
    </w:lvlOverride>
  </w:num>
  <w:num w:numId="8">
    <w:abstractNumId w:val="1"/>
    <w:lvlOverride w:ilvl="0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709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709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709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709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709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709"/>
        </w:pPr>
      </w:lvl>
    </w:lvlOverride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semiHidden="1" w:unhideWhenUsed="1" w:qFormat="1"/>
    <w:lsdException w:name="heading 5" w:uiPriority="5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131c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1"/>
    <w:qFormat/>
    <w:rsid w:val="00a37cb6"/>
    <w:pPr>
      <w:widowControl w:val="false"/>
      <w:numPr>
        <w:ilvl w:val="0"/>
        <w:numId w:val="1"/>
      </w:numPr>
      <w:spacing w:lineRule="auto" w:line="240" w:before="0" w:after="0"/>
      <w:jc w:val="both"/>
      <w:outlineLvl w:val="0"/>
    </w:pPr>
    <w:rPr>
      <w:szCs w:val="20"/>
      <w:lang w:eastAsia="ru-RU"/>
    </w:rPr>
  </w:style>
  <w:style w:type="paragraph" w:styleId="2">
    <w:name w:val="Heading 2"/>
    <w:basedOn w:val="1"/>
    <w:link w:val="20"/>
    <w:uiPriority w:val="2"/>
    <w:qFormat/>
    <w:rsid w:val="00214892"/>
    <w:pPr>
      <w:numPr>
        <w:ilvl w:val="1"/>
        <w:numId w:val="1"/>
      </w:numPr>
      <w:ind w:left="1" w:hanging="0"/>
      <w:outlineLvl w:val="1"/>
    </w:pPr>
    <w:rPr/>
  </w:style>
  <w:style w:type="paragraph" w:styleId="3">
    <w:name w:val="Heading 3"/>
    <w:basedOn w:val="Normal"/>
    <w:link w:val="30"/>
    <w:uiPriority w:val="3"/>
    <w:qFormat/>
    <w:rsid w:val="007a7aae"/>
    <w:pPr>
      <w:widowControl w:val="false"/>
      <w:spacing w:lineRule="auto" w:line="240" w:before="0" w:after="0"/>
      <w:ind w:firstLine="709"/>
      <w:jc w:val="both"/>
      <w:outlineLvl w:val="2"/>
    </w:pPr>
    <w:rPr>
      <w:szCs w:val="20"/>
      <w:lang w:eastAsia="ru-RU"/>
    </w:rPr>
  </w:style>
  <w:style w:type="paragraph" w:styleId="4">
    <w:name w:val="Heading 4"/>
    <w:basedOn w:val="2"/>
    <w:link w:val="40"/>
    <w:uiPriority w:val="4"/>
    <w:qFormat/>
    <w:rsid w:val="001c12ec"/>
    <w:pPr>
      <w:numPr>
        <w:ilvl w:val="2"/>
        <w:numId w:val="1"/>
      </w:numPr>
      <w:outlineLvl w:val="2"/>
    </w:pPr>
    <w:rPr/>
  </w:style>
  <w:style w:type="paragraph" w:styleId="5">
    <w:name w:val="Heading 5"/>
    <w:basedOn w:val="Normal"/>
    <w:next w:val="Normal"/>
    <w:link w:val="50"/>
    <w:uiPriority w:val="5"/>
    <w:qFormat/>
    <w:rsid w:val="001e131c"/>
    <w:pPr>
      <w:widowControl w:val="false"/>
      <w:spacing w:lineRule="auto" w:line="240" w:before="0" w:after="0"/>
      <w:jc w:val="center"/>
      <w:outlineLvl w:val="4"/>
    </w:pPr>
    <w:rPr>
      <w:b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link w:val="a3"/>
    <w:uiPriority w:val="99"/>
    <w:semiHidden/>
    <w:qFormat/>
    <w:rsid w:val="00c26c4c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qFormat/>
    <w:rsid w:val="00a37cb6"/>
    <w:rPr>
      <w:sz w:val="28"/>
    </w:rPr>
  </w:style>
  <w:style w:type="character" w:styleId="31" w:customStyle="1">
    <w:name w:val="Заголовок 3 Знак"/>
    <w:link w:val="3"/>
    <w:uiPriority w:val="3"/>
    <w:qFormat/>
    <w:rsid w:val="007a7aae"/>
    <w:rPr>
      <w:sz w:val="28"/>
    </w:rPr>
  </w:style>
  <w:style w:type="character" w:styleId="51" w:customStyle="1">
    <w:name w:val="Заголовок 5 Знак"/>
    <w:link w:val="5"/>
    <w:qFormat/>
    <w:rsid w:val="001e131c"/>
    <w:rPr>
      <w:b/>
      <w:sz w:val="28"/>
      <w:szCs w:val="28"/>
      <w:lang w:eastAsia="en-US"/>
    </w:rPr>
  </w:style>
  <w:style w:type="character" w:styleId="Style10" w:customStyle="1">
    <w:name w:val="Верхний колонтитул Знак"/>
    <w:basedOn w:val="DefaultParagraphFont"/>
    <w:link w:val="a5"/>
    <w:uiPriority w:val="99"/>
    <w:qFormat/>
    <w:rsid w:val="00163a52"/>
    <w:rPr/>
  </w:style>
  <w:style w:type="character" w:styleId="Style11" w:customStyle="1">
    <w:name w:val="Нижний колонтитул Знак"/>
    <w:basedOn w:val="DefaultParagraphFont"/>
    <w:link w:val="a7"/>
    <w:uiPriority w:val="99"/>
    <w:qFormat/>
    <w:rsid w:val="00163a52"/>
    <w:rPr/>
  </w:style>
  <w:style w:type="character" w:styleId="Style12" w:customStyle="1">
    <w:name w:val="Текст сноски Знак"/>
    <w:link w:val="aa"/>
    <w:uiPriority w:val="99"/>
    <w:semiHidden/>
    <w:qFormat/>
    <w:rsid w:val="00bc544b"/>
    <w:rPr>
      <w:sz w:val="20"/>
      <w:szCs w:val="20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bc544b"/>
    <w:rPr>
      <w:vertAlign w:val="superscript"/>
    </w:rPr>
  </w:style>
  <w:style w:type="character" w:styleId="Strong">
    <w:name w:val="Strong"/>
    <w:uiPriority w:val="22"/>
    <w:qFormat/>
    <w:rsid w:val="00ea4f4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56dfc"/>
    <w:rPr/>
  </w:style>
  <w:style w:type="character" w:styleId="Annotationreference">
    <w:name w:val="annotation reference"/>
    <w:uiPriority w:val="99"/>
    <w:semiHidden/>
    <w:unhideWhenUsed/>
    <w:qFormat/>
    <w:rsid w:val="00b337ff"/>
    <w:rPr>
      <w:sz w:val="16"/>
      <w:szCs w:val="16"/>
    </w:rPr>
  </w:style>
  <w:style w:type="character" w:styleId="Style14" w:customStyle="1">
    <w:name w:val="Текст примечания Знак"/>
    <w:link w:val="af"/>
    <w:uiPriority w:val="99"/>
    <w:semiHidden/>
    <w:qFormat/>
    <w:rsid w:val="00b337ff"/>
    <w:rPr>
      <w:sz w:val="20"/>
      <w:szCs w:val="20"/>
    </w:rPr>
  </w:style>
  <w:style w:type="character" w:styleId="Style15" w:customStyle="1">
    <w:name w:val="Тема примечания Знак"/>
    <w:link w:val="af1"/>
    <w:uiPriority w:val="99"/>
    <w:semiHidden/>
    <w:qFormat/>
    <w:rsid w:val="00b337ff"/>
    <w:rPr>
      <w:b/>
      <w:bCs/>
      <w:sz w:val="20"/>
      <w:szCs w:val="20"/>
    </w:rPr>
  </w:style>
  <w:style w:type="character" w:styleId="Style16" w:customStyle="1">
    <w:name w:val="Текст концевой сноски Знак"/>
    <w:link w:val="af3"/>
    <w:qFormat/>
    <w:rsid w:val="00b337ff"/>
    <w:rPr>
      <w:sz w:val="20"/>
      <w:szCs w:val="20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unhideWhenUsed/>
    <w:qFormat/>
    <w:rsid w:val="00b337ff"/>
    <w:rPr>
      <w:vertAlign w:val="superscript"/>
    </w:rPr>
  </w:style>
  <w:style w:type="character" w:styleId="Style18">
    <w:name w:val="Интернет-ссылка"/>
    <w:uiPriority w:val="99"/>
    <w:unhideWhenUsed/>
    <w:rsid w:val="0017618e"/>
    <w:rPr>
      <w:color w:val="0563C1"/>
      <w:u w:val="single"/>
    </w:rPr>
  </w:style>
  <w:style w:type="character" w:styleId="Style19" w:customStyle="1">
    <w:name w:val="Основной текст Знак"/>
    <w:link w:val="af7"/>
    <w:qFormat/>
    <w:rsid w:val="006f0527"/>
    <w:rPr>
      <w:sz w:val="24"/>
    </w:rPr>
  </w:style>
  <w:style w:type="character" w:styleId="21" w:customStyle="1">
    <w:name w:val="Заголовок 2 Знак"/>
    <w:link w:val="2"/>
    <w:uiPriority w:val="2"/>
    <w:qFormat/>
    <w:rsid w:val="00214892"/>
    <w:rPr>
      <w:sz w:val="28"/>
    </w:rPr>
  </w:style>
  <w:style w:type="character" w:styleId="41" w:customStyle="1">
    <w:name w:val="Заголовок 4 Знак"/>
    <w:link w:val="4"/>
    <w:uiPriority w:val="4"/>
    <w:qFormat/>
    <w:rsid w:val="001c12ec"/>
    <w:rPr>
      <w:sz w:val="28"/>
    </w:rPr>
  </w:style>
  <w:style w:type="character" w:styleId="Style20">
    <w:name w:val="Посещённая гиперссылка"/>
    <w:uiPriority w:val="99"/>
    <w:semiHidden/>
    <w:unhideWhenUsed/>
    <w:rsid w:val="00141a9f"/>
    <w:rPr>
      <w:color w:val="954F72"/>
      <w:u w:val="single"/>
    </w:rPr>
  </w:style>
  <w:style w:type="character" w:styleId="Style21">
    <w:name w:val="Нумерация строк"/>
    <w:rPr/>
  </w:style>
  <w:style w:type="character" w:styleId="Style22">
    <w:name w:val="Символ сноски"/>
    <w:qFormat/>
    <w:rPr/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5">
    <w:name w:val="Body Text"/>
    <w:basedOn w:val="Normal"/>
    <w:link w:val="af8"/>
    <w:rsid w:val="006f0527"/>
    <w:pPr>
      <w:spacing w:lineRule="auto" w:line="240" w:before="0" w:after="0"/>
      <w:jc w:val="center"/>
    </w:pPr>
    <w:rPr>
      <w:sz w:val="24"/>
      <w:szCs w:val="20"/>
      <w:lang w:eastAsia="ru-RU"/>
    </w:rPr>
  </w:style>
  <w:style w:type="paragraph" w:styleId="Style26">
    <w:name w:val="List"/>
    <w:basedOn w:val="Style25"/>
    <w:pPr/>
    <w:rPr>
      <w:rFonts w:cs="Droid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nformat" w:customStyle="1">
    <w:name w:val="ConsPlusNonformat"/>
    <w:uiPriority w:val="99"/>
    <w:qFormat/>
    <w:rsid w:val="00f11b15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6c4c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unhideWhenUsed/>
    <w:rsid w:val="00163a5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8"/>
    <w:uiPriority w:val="99"/>
    <w:unhideWhenUsed/>
    <w:rsid w:val="00163a5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20307"/>
    <w:pPr>
      <w:spacing w:before="0" w:after="200"/>
      <w:ind w:left="720" w:hanging="0"/>
      <w:contextualSpacing/>
    </w:pPr>
    <w:rPr/>
  </w:style>
  <w:style w:type="paragraph" w:styleId="Style32">
    <w:name w:val="Footnote Text"/>
    <w:basedOn w:val="Normal"/>
    <w:link w:val="ab"/>
    <w:uiPriority w:val="99"/>
    <w:semiHidden/>
    <w:unhideWhenUsed/>
    <w:rsid w:val="00bc544b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b337ff"/>
    <w:pPr>
      <w:spacing w:lineRule="auto" w:line="240"/>
    </w:pPr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b337ff"/>
    <w:pPr/>
    <w:rPr>
      <w:b/>
      <w:bCs/>
    </w:rPr>
  </w:style>
  <w:style w:type="paragraph" w:styleId="Style33">
    <w:name w:val="Endnote Text"/>
    <w:basedOn w:val="Normal"/>
    <w:link w:val="af4"/>
    <w:unhideWhenUsed/>
    <w:rsid w:val="00b337ff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ConsPlusNormal" w:customStyle="1">
    <w:name w:val="ConsPlusNormal"/>
    <w:qFormat/>
    <w:rsid w:val="00c71413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9f2cf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uiPriority w:val="1"/>
    <w:qFormat/>
    <w:rsid w:val="00e00dd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evision">
    <w:name w:val="Revision"/>
    <w:uiPriority w:val="99"/>
    <w:semiHidden/>
    <w:qFormat/>
    <w:rsid w:val="00353fd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42D0-01C0-4F8B-87C1-BB03A91E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Application>LibreOffice/7.1.7.2$Linux_X86_64 LibreOffice_project/c6a4e3954236145e2acb0b65f68614365aeee33f</Application>
  <AppVersion>15.0000</AppVersion>
  <Pages>7</Pages>
  <Words>1817</Words>
  <Characters>12650</Characters>
  <CharactersWithSpaces>14395</CharactersWithSpaces>
  <Paragraphs>85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2021-11-30T08:21:00Z</dcterms:created>
  <dc:creator>Шальмиев Роберт Михайлович</dc:creator>
  <dc:description/>
  <dc:language>ru-RU</dc:language>
  <cp:lastModifiedBy/>
  <cp:lastPrinted>2021-08-11T10:49:00Z</cp:lastPrinted>
  <dcterms:modified xsi:type="dcterms:W3CDTF">2022-08-26T16:25:26Z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