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Ассоциация «Саморегулируемая организация «Республиканское объединение строителей Алании»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троительство, реконструкция, капитальный ремонт зданий и сооружений 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DB3C3A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Тавитов А.Н.; Кастуев О.Д.; Харебов А.Л.; Бирагов Г.М.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234CFD" w:rsidRDefault="00234CFD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51-92-28; 51-99-02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D371F" w:rsidRPr="00FD371F" w:rsidRDefault="00316699" w:rsidP="00FD371F">
            <w:pPr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info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npsrorosa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  <w:r w:rsidR="00FD371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hyperlink r:id="rId10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atavitov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yandex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</w:p>
        </w:tc>
      </w:tr>
    </w:tbl>
    <w:p w:rsidR="00985FDD" w:rsidRPr="00EE4BC8" w:rsidRDefault="00985FDD" w:rsidP="00985FDD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985FDD" w:rsidRPr="00EE4BC8" w:rsidRDefault="00985FDD" w:rsidP="00985FDD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« ___  » _________20___ г.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Минэкономразвития</w:t>
            </w:r>
          </w:p>
          <w:p w:rsidR="00985FDD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РСО-Алания</w:t>
            </w:r>
            <w:r w:rsidRPr="00EE4BC8">
              <w:rPr>
                <w:rFonts w:ascii="Times New Roman" w:hAnsi="Times New Roman"/>
              </w:rPr>
              <w:t xml:space="preserve"> 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4BC8">
              <w:rPr>
                <w:rFonts w:ascii="Times New Roman" w:hAnsi="Times New Roman"/>
              </w:rPr>
              <w:t>Цориева</w:t>
            </w:r>
            <w:proofErr w:type="spellEnd"/>
            <w:r w:rsidRPr="00EE4BC8">
              <w:rPr>
                <w:rFonts w:ascii="Times New Roman" w:hAnsi="Times New Roman"/>
              </w:rPr>
              <w:t xml:space="preserve"> </w:t>
            </w:r>
            <w:proofErr w:type="spellStart"/>
            <w:r w:rsidRPr="00EE4BC8">
              <w:rPr>
                <w:rFonts w:ascii="Times New Roman" w:hAnsi="Times New Roman"/>
              </w:rPr>
              <w:t>Алета</w:t>
            </w:r>
            <w:proofErr w:type="spellEnd"/>
            <w:r w:rsidRPr="00EE4BC8">
              <w:rPr>
                <w:rFonts w:ascii="Times New Roman" w:hAnsi="Times New Roman"/>
              </w:rPr>
              <w:t xml:space="preserve"> </w:t>
            </w:r>
            <w:proofErr w:type="spellStart"/>
            <w:r w:rsidRPr="00EE4BC8">
              <w:rPr>
                <w:rFonts w:ascii="Times New Roman" w:hAnsi="Times New Roman"/>
              </w:rPr>
              <w:t>Таймуразовна</w:t>
            </w:r>
            <w:proofErr w:type="spellEnd"/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57452" w:rsidRPr="00B4279A" w:rsidRDefault="00957452" w:rsidP="0095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279A">
              <w:rPr>
                <w:sz w:val="24"/>
                <w:szCs w:val="24"/>
              </w:rPr>
              <w:t xml:space="preserve">Разработка унифицированных (типовых) контрактов на выполнение строительных работ в части совершенствование  и  развития контрактной системы </w:t>
            </w:r>
          </w:p>
        </w:tc>
      </w:tr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B4279A" w:rsidRDefault="00985FDD" w:rsidP="00957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57452" w:rsidRPr="00B4279A">
              <w:rPr>
                <w:rFonts w:ascii="Times New Roman" w:hAnsi="Times New Roman"/>
                <w:sz w:val="24"/>
                <w:szCs w:val="24"/>
              </w:rPr>
              <w:t xml:space="preserve">типового государственного (муниципального) контракта на условиях генерального подряда в отношении объекта капитального строительства гражданского назначения. </w:t>
            </w:r>
          </w:p>
        </w:tc>
      </w:tr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B4279A" w:rsidRDefault="005F3A4F" w:rsidP="005F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</w:tc>
      </w:tr>
      <w:tr w:rsidR="008D1266" w:rsidRPr="00B4279A" w:rsidTr="00957452">
        <w:trPr>
          <w:trHeight w:val="22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7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B427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427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B4279A" w:rsidRDefault="00316699" w:rsidP="008D1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1" w:anchor="npa=45750" w:history="1">
              <w:r w:rsidR="00957452" w:rsidRPr="00B4279A">
                <w:rPr>
                  <w:rStyle w:val="ae"/>
                  <w:rFonts w:ascii="Times New Roman" w:hAnsi="Times New Roman"/>
                  <w:sz w:val="24"/>
                  <w:szCs w:val="24"/>
                </w:rPr>
                <w:t>02/08/02-16/00045750</w:t>
              </w:r>
            </w:hyperlink>
          </w:p>
        </w:tc>
      </w:tr>
    </w:tbl>
    <w:p w:rsidR="0002027F" w:rsidRDefault="0002027F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95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актуальна и п</w:t>
            </w:r>
            <w:r w:rsidR="005F3A4F">
              <w:rPr>
                <w:rFonts w:ascii="Times New Roman" w:hAnsi="Times New Roman"/>
                <w:sz w:val="24"/>
                <w:szCs w:val="24"/>
              </w:rPr>
              <w:t xml:space="preserve">ринятие данного проекта позволит </w:t>
            </w:r>
            <w:r w:rsidR="00957452">
              <w:rPr>
                <w:rFonts w:ascii="Times New Roman" w:hAnsi="Times New Roman"/>
                <w:sz w:val="24"/>
                <w:szCs w:val="24"/>
              </w:rPr>
              <w:t>всем участникам государственных  и муниципальных заказов (заказчикам, подрядчикам) играть по одним и общим правилам, установленного государством.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7EB9" w:rsidRPr="00EE4BC8" w:rsidRDefault="00FA7EB9" w:rsidP="00AB3B81">
            <w:pPr>
              <w:rPr>
                <w:rFonts w:ascii="Times New Roman" w:hAnsi="Times New Roman"/>
                <w:sz w:val="24"/>
                <w:szCs w:val="24"/>
              </w:rPr>
            </w:pPr>
            <w:r w:rsidRPr="00FA7EB9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="0002027F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Правительство РФ уменьшить административные барьеры в указан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н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ой сфере регулирования и даст 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957452">
              <w:rPr>
                <w:rFonts w:ascii="Times New Roman" w:hAnsi="Times New Roman"/>
                <w:sz w:val="24"/>
                <w:szCs w:val="24"/>
              </w:rPr>
              <w:t xml:space="preserve">в области государственных </w:t>
            </w:r>
            <w:r w:rsidR="00AB3B81">
              <w:rPr>
                <w:rFonts w:ascii="Times New Roman" w:hAnsi="Times New Roman"/>
                <w:sz w:val="24"/>
                <w:szCs w:val="24"/>
              </w:rPr>
              <w:t>закупок путем про писания  общих правил игры в области строительства.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AB3B81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81">
              <w:rPr>
                <w:rFonts w:ascii="Times New Roman" w:hAnsi="Times New Roman"/>
                <w:sz w:val="24"/>
                <w:szCs w:val="24"/>
              </w:rPr>
              <w:t>Представленная редакция проекта договора нацелена на однобокую защиту прав заказчика в лице государственных и муниципальных органов, при этом соблюдения прав и интересов подрядчика минимизированы, что недопустимо условиях рыночной экономики.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807D7" w:rsidP="001E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содерж</w:t>
            </w:r>
            <w:r w:rsidR="001E18B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но имеются замечаний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="001E1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указаны ниже.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24A20" w:rsidRPr="00EE4BC8" w:rsidRDefault="00226FA7" w:rsidP="00724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713262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95310B" w:rsidRDefault="0095310B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92F" w:rsidRPr="001F7E48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Замечания имеются следующего характера: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B45" w:rsidRPr="001F7E48" w:rsidRDefault="00E951E9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1. </w:t>
      </w:r>
      <w:r w:rsidR="0095310B">
        <w:rPr>
          <w:rFonts w:ascii="Times New Roman" w:hAnsi="Times New Roman" w:cs="Times New Roman"/>
          <w:sz w:val="24"/>
          <w:szCs w:val="24"/>
        </w:rPr>
        <w:t>В</w:t>
      </w:r>
      <w:r w:rsidR="00AB3B81" w:rsidRPr="001F7E48">
        <w:rPr>
          <w:rFonts w:ascii="Times New Roman" w:hAnsi="Times New Roman" w:cs="Times New Roman"/>
          <w:sz w:val="24"/>
          <w:szCs w:val="24"/>
        </w:rPr>
        <w:t xml:space="preserve"> разделе  «Термины и определения»</w:t>
      </w:r>
      <w:r w:rsidR="00953B45" w:rsidRPr="001F7E48">
        <w:rPr>
          <w:rFonts w:ascii="Times New Roman" w:hAnsi="Times New Roman" w:cs="Times New Roman"/>
          <w:sz w:val="24"/>
          <w:szCs w:val="24"/>
        </w:rPr>
        <w:t xml:space="preserve">: нет смысла давать расшифровки общеизвестных </w:t>
      </w:r>
      <w:proofErr w:type="gramStart"/>
      <w:r w:rsidR="00953B45" w:rsidRPr="001F7E48">
        <w:rPr>
          <w:rFonts w:ascii="Times New Roman" w:hAnsi="Times New Roman" w:cs="Times New Roman"/>
          <w:sz w:val="24"/>
          <w:szCs w:val="24"/>
        </w:rPr>
        <w:t>формулировок</w:t>
      </w:r>
      <w:proofErr w:type="gramEnd"/>
      <w:r w:rsidR="00953B45" w:rsidRPr="001F7E48">
        <w:rPr>
          <w:rFonts w:ascii="Times New Roman" w:hAnsi="Times New Roman" w:cs="Times New Roman"/>
          <w:sz w:val="24"/>
          <w:szCs w:val="24"/>
        </w:rPr>
        <w:t xml:space="preserve"> понятие которых дается в других нормативно-правовых актах, а именно: </w:t>
      </w:r>
      <w:proofErr w:type="gramStart"/>
      <w:r w:rsidR="00953B45" w:rsidRPr="001F7E48">
        <w:rPr>
          <w:rFonts w:ascii="Times New Roman" w:hAnsi="Times New Roman" w:cs="Times New Roman"/>
          <w:sz w:val="24"/>
          <w:szCs w:val="24"/>
        </w:rPr>
        <w:t>«Закон о закупках»</w:t>
      </w:r>
      <w:r w:rsidR="00574695" w:rsidRPr="001F7E48">
        <w:rPr>
          <w:rFonts w:ascii="Times New Roman" w:hAnsi="Times New Roman" w:cs="Times New Roman"/>
          <w:sz w:val="24"/>
          <w:szCs w:val="24"/>
        </w:rPr>
        <w:t xml:space="preserve"> (ФЗ-44)</w:t>
      </w:r>
      <w:r w:rsidR="00953B45" w:rsidRPr="001F7E48">
        <w:rPr>
          <w:rFonts w:ascii="Times New Roman" w:hAnsi="Times New Roman" w:cs="Times New Roman"/>
          <w:sz w:val="24"/>
          <w:szCs w:val="24"/>
        </w:rPr>
        <w:t>, «Законодательство», «Разрешение на строительство»</w:t>
      </w:r>
      <w:r w:rsidR="00574695" w:rsidRPr="001F7E48">
        <w:rPr>
          <w:rFonts w:ascii="Times New Roman" w:hAnsi="Times New Roman" w:cs="Times New Roman"/>
          <w:sz w:val="24"/>
          <w:szCs w:val="24"/>
        </w:rPr>
        <w:t xml:space="preserve"> (ГрК)</w:t>
      </w:r>
      <w:r w:rsidR="00953B45" w:rsidRPr="001F7E48">
        <w:rPr>
          <w:rFonts w:ascii="Times New Roman" w:hAnsi="Times New Roman" w:cs="Times New Roman"/>
          <w:sz w:val="24"/>
          <w:szCs w:val="24"/>
        </w:rPr>
        <w:t>, «Ростехнадзор», «Строительный контроль»</w:t>
      </w:r>
      <w:r w:rsidR="00574695" w:rsidRPr="001F7E48">
        <w:rPr>
          <w:rFonts w:ascii="Times New Roman" w:hAnsi="Times New Roman" w:cs="Times New Roman"/>
          <w:sz w:val="24"/>
          <w:szCs w:val="24"/>
        </w:rPr>
        <w:t xml:space="preserve"> (ГрК)</w:t>
      </w:r>
      <w:r w:rsidR="00953B45" w:rsidRPr="001F7E48">
        <w:rPr>
          <w:rFonts w:ascii="Times New Roman" w:hAnsi="Times New Roman" w:cs="Times New Roman"/>
          <w:sz w:val="24"/>
          <w:szCs w:val="24"/>
        </w:rPr>
        <w:t>, «Технический заказчик»</w:t>
      </w:r>
      <w:r w:rsidR="00574695" w:rsidRPr="001F7E48">
        <w:rPr>
          <w:rFonts w:ascii="Times New Roman" w:hAnsi="Times New Roman" w:cs="Times New Roman"/>
          <w:sz w:val="24"/>
          <w:szCs w:val="24"/>
        </w:rPr>
        <w:t xml:space="preserve"> (ГрК)</w:t>
      </w:r>
      <w:r w:rsidR="00953B45" w:rsidRPr="001F7E48">
        <w:rPr>
          <w:rFonts w:ascii="Times New Roman" w:hAnsi="Times New Roman" w:cs="Times New Roman"/>
          <w:sz w:val="24"/>
          <w:szCs w:val="24"/>
        </w:rPr>
        <w:t>, «Приемочные испытания, «</w:t>
      </w:r>
      <w:r w:rsidR="00574695" w:rsidRPr="001F7E48">
        <w:rPr>
          <w:rFonts w:ascii="Times New Roman" w:hAnsi="Times New Roman" w:cs="Times New Roman"/>
          <w:sz w:val="24"/>
          <w:szCs w:val="24"/>
        </w:rPr>
        <w:t>П</w:t>
      </w:r>
      <w:r w:rsidR="00953B45" w:rsidRPr="001F7E48">
        <w:rPr>
          <w:rFonts w:ascii="Times New Roman" w:hAnsi="Times New Roman" w:cs="Times New Roman"/>
          <w:sz w:val="24"/>
          <w:szCs w:val="24"/>
        </w:rPr>
        <w:t>усконаладочные работы»</w:t>
      </w:r>
      <w:r w:rsidR="00574695" w:rsidRPr="001F7E48">
        <w:rPr>
          <w:rFonts w:ascii="Times New Roman" w:hAnsi="Times New Roman" w:cs="Times New Roman"/>
          <w:sz w:val="24"/>
          <w:szCs w:val="24"/>
        </w:rPr>
        <w:t>, «Проектная документация»</w:t>
      </w:r>
      <w:r w:rsidR="00953B45"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574695" w:rsidRPr="001F7E48">
        <w:rPr>
          <w:rFonts w:ascii="Times New Roman" w:hAnsi="Times New Roman" w:cs="Times New Roman"/>
          <w:sz w:val="24"/>
          <w:szCs w:val="24"/>
        </w:rPr>
        <w:t>(ГрК) и т.д.</w:t>
      </w:r>
      <w:r w:rsidRPr="001F7E48">
        <w:rPr>
          <w:rFonts w:ascii="Times New Roman" w:hAnsi="Times New Roman" w:cs="Times New Roman"/>
          <w:sz w:val="24"/>
          <w:szCs w:val="24"/>
        </w:rPr>
        <w:t xml:space="preserve">, а </w:t>
      </w:r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«Гарантийный срок» </w:t>
      </w:r>
      <w:r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следующей редакции «</w:t>
      </w:r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установленный в настоящем Контракте период времени, исчисляемый с даты подписания сторонами акта приемки законченного строительством объекта (в случае осуществления нового строительства), либо последнего акта приемки выполненных работ</w:t>
      </w:r>
      <w:proofErr w:type="gramEnd"/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осуществления реконструкции или капитального ремонта), в течение которого Подрядчик обязан устранять, в соответствии с условиями настоящего Контракта, своими и/или привлеченными силами и за свой счет выявленные недостатки (дефекты) результата работ, связанные с выполнением работ и/или поставленным и смонтированным  оборудованием  по Контракту, при отсутствии виновных действий со стороны Заказчика, третьих лиц и событий непреодолимой силы.</w:t>
      </w:r>
      <w:proofErr w:type="gramEnd"/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Гарантийный период эксплуатации оборудования, приборов, изделий заводского изготовления, предусмотренных в проектной документации или других, согласованных Заказчиком и смонтированных Подрядчиком, не может устанавливаться более чем указано в заводской технической документации на них</w:t>
      </w:r>
      <w:proofErr w:type="gramStart"/>
      <w:r w:rsidR="00953B45"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F7E4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</w:p>
    <w:p w:rsidR="0095310B" w:rsidRDefault="0095310B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695" w:rsidRPr="001F7E48" w:rsidRDefault="00574695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2. в раздел «Предмет контракта»</w:t>
      </w:r>
      <w:r w:rsidR="00E951E9" w:rsidRPr="001F7E48">
        <w:rPr>
          <w:rFonts w:ascii="Times New Roman" w:hAnsi="Times New Roman" w:cs="Times New Roman"/>
          <w:sz w:val="24"/>
          <w:szCs w:val="24"/>
        </w:rPr>
        <w:t xml:space="preserve"> предмет контракта изложить к</w:t>
      </w:r>
      <w:r w:rsidRPr="001F7E48">
        <w:rPr>
          <w:rFonts w:ascii="Times New Roman" w:hAnsi="Times New Roman" w:cs="Times New Roman"/>
          <w:sz w:val="24"/>
          <w:szCs w:val="24"/>
        </w:rPr>
        <w:t>ак в указанно в ст.740 ГК РФ.</w:t>
      </w:r>
    </w:p>
    <w:p w:rsidR="0095310B" w:rsidRDefault="0095310B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E951E9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3. По тексту, где не указаны сроки</w:t>
      </w:r>
      <w:r w:rsidR="0095310B">
        <w:rPr>
          <w:rFonts w:ascii="Times New Roman" w:hAnsi="Times New Roman" w:cs="Times New Roman"/>
          <w:sz w:val="24"/>
          <w:szCs w:val="24"/>
        </w:rPr>
        <w:t>,</w:t>
      </w: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  <w:r w:rsidR="0095310B">
        <w:rPr>
          <w:rFonts w:ascii="Times New Roman" w:hAnsi="Times New Roman" w:cs="Times New Roman"/>
          <w:sz w:val="24"/>
          <w:szCs w:val="24"/>
        </w:rPr>
        <w:t>установит</w:t>
      </w:r>
      <w:r w:rsidRPr="001F7E48">
        <w:rPr>
          <w:rFonts w:ascii="Times New Roman" w:hAnsi="Times New Roman" w:cs="Times New Roman"/>
          <w:sz w:val="24"/>
          <w:szCs w:val="24"/>
        </w:rPr>
        <w:t>ь конкретные сроки.</w:t>
      </w:r>
    </w:p>
    <w:p w:rsidR="0095310B" w:rsidRDefault="0095310B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E951E9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4. По тексту контракта, где указанно «незамедлительно» указать конкретный срок.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E951E9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5. Предусмотреть в контракте возможность, в случае «выявлении несоответствия объемов Работ, указанных в Технической документации, фактическим объемам работ, которые необходимо выполнить на Объекте, стороны вправе согласовать внесение соответствующих изменений в Контракт и Техническое задание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>п.3.12. или 3.13.).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  П</w:t>
      </w:r>
      <w:r w:rsidR="00E951E9" w:rsidRPr="001F7E48">
        <w:rPr>
          <w:rFonts w:ascii="Times New Roman" w:hAnsi="Times New Roman" w:cs="Times New Roman"/>
          <w:sz w:val="24"/>
          <w:szCs w:val="24"/>
        </w:rPr>
        <w:t xml:space="preserve">.3.13.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  «П</w:t>
      </w:r>
      <w:r w:rsidR="00E951E9" w:rsidRPr="001F7E48">
        <w:rPr>
          <w:rFonts w:ascii="Times New Roman" w:hAnsi="Times New Roman" w:cs="Times New Roman"/>
          <w:sz w:val="24"/>
          <w:szCs w:val="24"/>
        </w:rPr>
        <w:t xml:space="preserve">ри согласовании изменения объемов Работ, если такое изменение приводит к увеличению Цены Контракта не более чем на 10 (десять) % и не приводит </w:t>
      </w:r>
      <w:r w:rsidR="00E951E9" w:rsidRPr="001F7E4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951E9" w:rsidRPr="001F7E48">
        <w:rPr>
          <w:rFonts w:ascii="Times New Roman" w:hAnsi="Times New Roman" w:cs="Times New Roman"/>
          <w:sz w:val="24"/>
          <w:szCs w:val="24"/>
        </w:rPr>
        <w:t>увеличению начальной максимальной стоимости строительства Объекта, содержащейся в Проектной документации и допускается соглашением Сторон в соответствии с Контрактом и законодательством Российской Федерации, Стороны обязаны в разумные сроки подписать дополнительное соглашение к</w:t>
      </w:r>
      <w:proofErr w:type="gramEnd"/>
      <w:r w:rsidR="00E951E9" w:rsidRPr="001F7E48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="00E951E9" w:rsidRPr="001F7E48">
        <w:rPr>
          <w:rFonts w:ascii="Times New Roman" w:hAnsi="Times New Roman" w:cs="Times New Roman"/>
          <w:sz w:val="24"/>
          <w:szCs w:val="24"/>
          <w:lang w:eastAsia="ru-RU"/>
        </w:rPr>
        <w:t xml:space="preserve">. Такие </w:t>
      </w:r>
      <w:r w:rsidR="00E951E9" w:rsidRPr="001F7E48">
        <w:rPr>
          <w:rFonts w:ascii="Times New Roman" w:hAnsi="Times New Roman" w:cs="Times New Roman"/>
          <w:sz w:val="24"/>
          <w:szCs w:val="24"/>
        </w:rPr>
        <w:t>изменения становятся обязательными для Генподрядчика с момента подписания Сторонами соответствующего дополнит</w:t>
      </w:r>
      <w:r w:rsidR="00FF3AC9" w:rsidRPr="001F7E48">
        <w:rPr>
          <w:rFonts w:ascii="Times New Roman" w:hAnsi="Times New Roman" w:cs="Times New Roman"/>
          <w:sz w:val="24"/>
          <w:szCs w:val="24"/>
        </w:rPr>
        <w:t xml:space="preserve">ельного соглашения к Контракту.  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C9" w:rsidRPr="001F7E48" w:rsidRDefault="00FF3AC9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7. Далее по тексту также 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вмест</w:t>
      </w:r>
      <w:r w:rsidR="009531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увеличению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 xml:space="preserve"> сметной стоимости строительства Объекта» указать «увеличению начальной максимальной стоимости строительства Объекта».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Ввиду </w:t>
      </w:r>
      <w:r w:rsidR="00FF3AC9" w:rsidRPr="001F7E48">
        <w:rPr>
          <w:rFonts w:ascii="Times New Roman" w:hAnsi="Times New Roman" w:cs="Times New Roman"/>
          <w:sz w:val="24"/>
          <w:szCs w:val="24"/>
        </w:rPr>
        <w:t>предстоящих изменения в Градостроительн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F3AC9" w:rsidRPr="001F7E4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F3AC9" w:rsidRPr="001F7E48">
        <w:rPr>
          <w:rFonts w:ascii="Times New Roman" w:hAnsi="Times New Roman" w:cs="Times New Roman"/>
          <w:sz w:val="24"/>
          <w:szCs w:val="24"/>
        </w:rPr>
        <w:t xml:space="preserve"> РФ, возложить на заказчика обязанность по уведомлению соответствующую саморегулируемую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AC9" w:rsidRPr="001F7E48">
        <w:rPr>
          <w:rFonts w:ascii="Times New Roman" w:hAnsi="Times New Roman" w:cs="Times New Roman"/>
          <w:sz w:val="24"/>
          <w:szCs w:val="24"/>
        </w:rPr>
        <w:t xml:space="preserve"> членом которого является соответствующая подрядная организация</w:t>
      </w:r>
      <w:r w:rsidR="00F30920" w:rsidRPr="001F7E48">
        <w:rPr>
          <w:rFonts w:ascii="Times New Roman" w:hAnsi="Times New Roman" w:cs="Times New Roman"/>
          <w:sz w:val="24"/>
          <w:szCs w:val="24"/>
        </w:rPr>
        <w:t xml:space="preserve"> о заключенного контракта, </w:t>
      </w:r>
      <w:proofErr w:type="gramStart"/>
      <w:r w:rsidR="00F30920" w:rsidRPr="001F7E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30920" w:rsidRPr="001F7E48">
        <w:rPr>
          <w:rFonts w:ascii="Times New Roman" w:hAnsi="Times New Roman" w:cs="Times New Roman"/>
          <w:sz w:val="24"/>
          <w:szCs w:val="24"/>
        </w:rPr>
        <w:t xml:space="preserve"> всех нарушениях со стороны подрядной организации требований технических регламентов и других нормативных актов. 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20" w:rsidRPr="001F7E48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Ввиду </w:t>
      </w:r>
      <w:r w:rsidR="00F30920" w:rsidRPr="001F7E48">
        <w:rPr>
          <w:rFonts w:ascii="Times New Roman" w:hAnsi="Times New Roman" w:cs="Times New Roman"/>
          <w:sz w:val="24"/>
          <w:szCs w:val="24"/>
        </w:rPr>
        <w:t>предстоящих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30920" w:rsidRPr="001F7E48">
        <w:rPr>
          <w:rFonts w:ascii="Times New Roman" w:hAnsi="Times New Roman" w:cs="Times New Roman"/>
          <w:sz w:val="24"/>
          <w:szCs w:val="24"/>
        </w:rPr>
        <w:t xml:space="preserve"> в Градостроительн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30920" w:rsidRPr="001F7E4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0920" w:rsidRPr="001F7E48">
        <w:rPr>
          <w:rFonts w:ascii="Times New Roman" w:hAnsi="Times New Roman" w:cs="Times New Roman"/>
          <w:sz w:val="24"/>
          <w:szCs w:val="24"/>
        </w:rPr>
        <w:t xml:space="preserve"> РФ, возложить на генподрядчика обязанность по привлечению к строительству соответствующего объекта тех работников, который последний заявил в саморегулируемую организацию для соответствия его требованием ГрК РФ.</w:t>
      </w:r>
    </w:p>
    <w:p w:rsidR="0095310B" w:rsidRDefault="0095310B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20" w:rsidRPr="001F7E48" w:rsidRDefault="00F30920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10. </w:t>
      </w:r>
      <w:r w:rsidR="0095310B">
        <w:rPr>
          <w:rFonts w:ascii="Times New Roman" w:hAnsi="Times New Roman" w:cs="Times New Roman"/>
          <w:sz w:val="24"/>
          <w:szCs w:val="24"/>
        </w:rPr>
        <w:t>Ввиду</w:t>
      </w:r>
      <w:r w:rsidRPr="001F7E48">
        <w:rPr>
          <w:rFonts w:ascii="Times New Roman" w:hAnsi="Times New Roman" w:cs="Times New Roman"/>
          <w:sz w:val="24"/>
          <w:szCs w:val="24"/>
        </w:rPr>
        <w:t xml:space="preserve"> предстоящих изменения в Градостроительн</w:t>
      </w:r>
      <w:r w:rsidR="0095310B">
        <w:rPr>
          <w:rFonts w:ascii="Times New Roman" w:hAnsi="Times New Roman" w:cs="Times New Roman"/>
          <w:sz w:val="24"/>
          <w:szCs w:val="24"/>
        </w:rPr>
        <w:t>ом</w:t>
      </w:r>
      <w:r w:rsidRPr="001F7E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5310B">
        <w:rPr>
          <w:rFonts w:ascii="Times New Roman" w:hAnsi="Times New Roman" w:cs="Times New Roman"/>
          <w:sz w:val="24"/>
          <w:szCs w:val="24"/>
        </w:rPr>
        <w:t>е</w:t>
      </w:r>
      <w:r w:rsidRPr="001F7E48">
        <w:rPr>
          <w:rFonts w:ascii="Times New Roman" w:hAnsi="Times New Roman" w:cs="Times New Roman"/>
          <w:sz w:val="24"/>
          <w:szCs w:val="24"/>
        </w:rPr>
        <w:t xml:space="preserve"> РФ возложить обязанность по проведению саморегулируемой организацией плановых и внеплановых проверок деятельности, в том числе, допуск на строительную площадку и предоставление необходимой информации;</w:t>
      </w:r>
    </w:p>
    <w:p w:rsidR="0095310B" w:rsidRDefault="0095310B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20" w:rsidRPr="001F7E48" w:rsidRDefault="00F30920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11. Предусмотреть возможность обязательного авансирования стоимости работ.</w:t>
      </w:r>
    </w:p>
    <w:p w:rsidR="0095310B" w:rsidRDefault="0095310B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20" w:rsidRPr="001F7E48" w:rsidRDefault="00F30920" w:rsidP="00F3092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12. Пункт 5.13. полностью исключить и дополнив, что ни одна из Сторон не вправе производить удержания из денежных средств, подлежащих уплате другой Стороне.</w:t>
      </w:r>
    </w:p>
    <w:p w:rsidR="0095310B" w:rsidRDefault="00F30920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20" w:rsidRPr="001F7E48" w:rsidRDefault="00F30920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13. Главу 5-1 Банковское сопровождение </w:t>
      </w:r>
      <w:r w:rsidR="00153324" w:rsidRPr="001F7E48">
        <w:rPr>
          <w:rFonts w:ascii="Times New Roman" w:hAnsi="Times New Roman" w:cs="Times New Roman"/>
          <w:sz w:val="24"/>
          <w:szCs w:val="24"/>
        </w:rPr>
        <w:t>исключить,</w:t>
      </w:r>
      <w:r w:rsidRPr="001F7E48">
        <w:rPr>
          <w:rFonts w:ascii="Times New Roman" w:hAnsi="Times New Roman" w:cs="Times New Roman"/>
          <w:sz w:val="24"/>
          <w:szCs w:val="24"/>
        </w:rPr>
        <w:t xml:space="preserve"> так как оно 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 xml:space="preserve"> ФЗ-44 при заключение контракта.</w:t>
      </w:r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B26" w:rsidRPr="001F7E48" w:rsidRDefault="00153324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14. В свете предстоящих изменения в Градостроительный кодекс РФ и в систему стандартизации в разделе 14, предусмотреть возможность 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 xml:space="preserve"> выполнением работ </w:t>
      </w:r>
      <w:r w:rsidR="004B4B26" w:rsidRPr="001F7E48">
        <w:rPr>
          <w:rFonts w:ascii="Times New Roman" w:hAnsi="Times New Roman" w:cs="Times New Roman"/>
          <w:sz w:val="24"/>
          <w:szCs w:val="24"/>
        </w:rPr>
        <w:t>в соответствие с требованием</w:t>
      </w:r>
      <w:r w:rsidRPr="001F7E48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4B4B26" w:rsidRPr="001F7E48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1F7E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4B26" w:rsidRPr="001F7E4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членов которого является подрядная организация</w:t>
      </w:r>
    </w:p>
    <w:p w:rsidR="0095310B" w:rsidRDefault="0095310B" w:rsidP="004B4B2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B26" w:rsidRPr="001F7E48" w:rsidRDefault="004B4B26" w:rsidP="004B4B2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1</w:t>
      </w:r>
      <w:r w:rsidR="0095310B">
        <w:rPr>
          <w:rFonts w:ascii="Times New Roman" w:hAnsi="Times New Roman" w:cs="Times New Roman"/>
          <w:sz w:val="24"/>
          <w:szCs w:val="24"/>
        </w:rPr>
        <w:t>5</w:t>
      </w:r>
      <w:r w:rsidRPr="001F7E48">
        <w:rPr>
          <w:rFonts w:ascii="Times New Roman" w:hAnsi="Times New Roman" w:cs="Times New Roman"/>
          <w:sz w:val="24"/>
          <w:szCs w:val="24"/>
        </w:rPr>
        <w:t xml:space="preserve">.  В разделе 19 содержащей нормы по одностороннему отказу от исполнения условий контракта, необходимо учесть нормы ч. 8 ст. 95 ФЗ № 44, согласно которой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Заказчик вправе принять решение об одностороннем отказе от исполнения контракта по основаниям, предусмотренным ГК РФ, при условии, что это было предусмотрено контрактом (ч. 9 ст. 95 ФЗ № 44). В ФЗ № 44 установлены обязательные этапы одностороннего расторжения (части 12 - 22, ст. 95 ФЗ № 44): обязательное уведомление второй стороны и отмена решения об одностороннем расторжении в случае, если в течение десяти дней от даты уведомления вторая сторона устранила нарушение условий контракта. 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 xml:space="preserve">Причиной одностороннего расторжения может быть только «существенное нарушение договора другой стороной», причем существенным является «нарушение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договора» (ч. 2 ст.450 ГК РФ), а также конкретные причины, указанные в тексте контракта. </w:t>
      </w:r>
      <w:proofErr w:type="gramEnd"/>
    </w:p>
    <w:p w:rsidR="0095310B" w:rsidRDefault="0095310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B26" w:rsidRPr="001F7E48" w:rsidRDefault="004B4B26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1</w:t>
      </w:r>
      <w:r w:rsidR="0095310B">
        <w:rPr>
          <w:rFonts w:ascii="Times New Roman" w:hAnsi="Times New Roman" w:cs="Times New Roman"/>
          <w:sz w:val="24"/>
          <w:szCs w:val="24"/>
        </w:rPr>
        <w:t>6</w:t>
      </w:r>
      <w:r w:rsidRPr="001F7E48">
        <w:rPr>
          <w:rFonts w:ascii="Times New Roman" w:hAnsi="Times New Roman" w:cs="Times New Roman"/>
          <w:sz w:val="24"/>
          <w:szCs w:val="24"/>
        </w:rPr>
        <w:t>. Следует в раздел 24. Добавить возможность передачи корреспонденции электронной почтой, факсом и другими средствами связи для оперативного решени</w:t>
      </w:r>
      <w:r w:rsidR="0095310B">
        <w:rPr>
          <w:rFonts w:ascii="Times New Roman" w:hAnsi="Times New Roman" w:cs="Times New Roman"/>
          <w:sz w:val="24"/>
          <w:szCs w:val="24"/>
        </w:rPr>
        <w:t>я</w:t>
      </w:r>
      <w:r w:rsidRPr="001F7E48">
        <w:rPr>
          <w:rFonts w:ascii="Times New Roman" w:hAnsi="Times New Roman" w:cs="Times New Roman"/>
          <w:sz w:val="24"/>
          <w:szCs w:val="24"/>
        </w:rPr>
        <w:t xml:space="preserve"> всех вопросов</w:t>
      </w:r>
      <w:r w:rsidR="0095310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F7E48">
        <w:rPr>
          <w:rFonts w:ascii="Times New Roman" w:hAnsi="Times New Roman" w:cs="Times New Roman"/>
          <w:sz w:val="24"/>
          <w:szCs w:val="24"/>
        </w:rPr>
        <w:t xml:space="preserve"> возникающих при реализации контракта. </w:t>
      </w:r>
    </w:p>
    <w:p w:rsidR="004B4B26" w:rsidRPr="001F7E48" w:rsidRDefault="001F7E48" w:rsidP="004B4B2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4B26" w:rsidRPr="001F7E48" w:rsidSect="0095310B">
      <w:headerReference w:type="default" r:id="rId12"/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9" w:rsidRDefault="00316699" w:rsidP="0055633C">
      <w:pPr>
        <w:spacing w:after="0" w:line="240" w:lineRule="auto"/>
      </w:pPr>
      <w:r>
        <w:separator/>
      </w:r>
    </w:p>
  </w:endnote>
  <w:endnote w:type="continuationSeparator" w:id="0">
    <w:p w:rsidR="00316699" w:rsidRDefault="0031669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9" w:rsidRDefault="00316699" w:rsidP="0055633C">
      <w:pPr>
        <w:spacing w:after="0" w:line="240" w:lineRule="auto"/>
      </w:pPr>
      <w:r>
        <w:separator/>
      </w:r>
    </w:p>
  </w:footnote>
  <w:footnote w:type="continuationSeparator" w:id="0">
    <w:p w:rsidR="00316699" w:rsidRDefault="0031669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F20"/>
    <w:multiLevelType w:val="multilevel"/>
    <w:tmpl w:val="C4EC3F78"/>
    <w:lvl w:ilvl="0">
      <w:start w:val="1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2A1E28"/>
    <w:multiLevelType w:val="multilevel"/>
    <w:tmpl w:val="33EEA5A0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20046CCA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">
    <w:nsid w:val="44BD3A4C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1A0"/>
    <w:multiLevelType w:val="multilevel"/>
    <w:tmpl w:val="79D0B7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6">
    <w:nsid w:val="6CB773FA"/>
    <w:multiLevelType w:val="hybridMultilevel"/>
    <w:tmpl w:val="6F9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77C0E"/>
    <w:multiLevelType w:val="multilevel"/>
    <w:tmpl w:val="091838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027F"/>
    <w:rsid w:val="00051200"/>
    <w:rsid w:val="00051FC8"/>
    <w:rsid w:val="00067770"/>
    <w:rsid w:val="00071B8E"/>
    <w:rsid w:val="000A1215"/>
    <w:rsid w:val="000A5EFE"/>
    <w:rsid w:val="000C08FA"/>
    <w:rsid w:val="000F4752"/>
    <w:rsid w:val="001053DC"/>
    <w:rsid w:val="001078FE"/>
    <w:rsid w:val="001109BA"/>
    <w:rsid w:val="00153324"/>
    <w:rsid w:val="001556E2"/>
    <w:rsid w:val="00163ACB"/>
    <w:rsid w:val="00174291"/>
    <w:rsid w:val="001807D7"/>
    <w:rsid w:val="001B2B9A"/>
    <w:rsid w:val="001C176F"/>
    <w:rsid w:val="001C6D94"/>
    <w:rsid w:val="001D3002"/>
    <w:rsid w:val="001D5918"/>
    <w:rsid w:val="001D7CF0"/>
    <w:rsid w:val="001E18B7"/>
    <w:rsid w:val="001F7E48"/>
    <w:rsid w:val="00220D3F"/>
    <w:rsid w:val="00226FA7"/>
    <w:rsid w:val="00234CFD"/>
    <w:rsid w:val="0024346D"/>
    <w:rsid w:val="002B3C43"/>
    <w:rsid w:val="002D492C"/>
    <w:rsid w:val="002D4AF2"/>
    <w:rsid w:val="002D5688"/>
    <w:rsid w:val="002E39A2"/>
    <w:rsid w:val="002E6571"/>
    <w:rsid w:val="002F28F8"/>
    <w:rsid w:val="00316699"/>
    <w:rsid w:val="0033609E"/>
    <w:rsid w:val="00337085"/>
    <w:rsid w:val="00356981"/>
    <w:rsid w:val="0036770C"/>
    <w:rsid w:val="003E6643"/>
    <w:rsid w:val="003F5C9C"/>
    <w:rsid w:val="00416A54"/>
    <w:rsid w:val="00426482"/>
    <w:rsid w:val="004275FC"/>
    <w:rsid w:val="00430D0A"/>
    <w:rsid w:val="004338CE"/>
    <w:rsid w:val="004929E9"/>
    <w:rsid w:val="00492D67"/>
    <w:rsid w:val="00494750"/>
    <w:rsid w:val="004A1096"/>
    <w:rsid w:val="004B4B26"/>
    <w:rsid w:val="004C5D08"/>
    <w:rsid w:val="00505A82"/>
    <w:rsid w:val="00511647"/>
    <w:rsid w:val="00515298"/>
    <w:rsid w:val="00546A34"/>
    <w:rsid w:val="0055633C"/>
    <w:rsid w:val="00573E6C"/>
    <w:rsid w:val="00574695"/>
    <w:rsid w:val="005751E7"/>
    <w:rsid w:val="005A2E85"/>
    <w:rsid w:val="005C1538"/>
    <w:rsid w:val="005D1FD8"/>
    <w:rsid w:val="005F0478"/>
    <w:rsid w:val="005F3A4F"/>
    <w:rsid w:val="005F479A"/>
    <w:rsid w:val="00606E94"/>
    <w:rsid w:val="00641698"/>
    <w:rsid w:val="00652F9D"/>
    <w:rsid w:val="0066380F"/>
    <w:rsid w:val="00681D2B"/>
    <w:rsid w:val="00682294"/>
    <w:rsid w:val="00694C38"/>
    <w:rsid w:val="006A074A"/>
    <w:rsid w:val="006A7560"/>
    <w:rsid w:val="006C38E9"/>
    <w:rsid w:val="006C6D6A"/>
    <w:rsid w:val="00713262"/>
    <w:rsid w:val="00724A20"/>
    <w:rsid w:val="00752360"/>
    <w:rsid w:val="0079692F"/>
    <w:rsid w:val="007A5768"/>
    <w:rsid w:val="007C6C38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5310B"/>
    <w:rsid w:val="00953B45"/>
    <w:rsid w:val="00957452"/>
    <w:rsid w:val="00985FDD"/>
    <w:rsid w:val="009C3691"/>
    <w:rsid w:val="009D1F54"/>
    <w:rsid w:val="009D4D0D"/>
    <w:rsid w:val="00A0135F"/>
    <w:rsid w:val="00A42DDA"/>
    <w:rsid w:val="00AB3B81"/>
    <w:rsid w:val="00B0628B"/>
    <w:rsid w:val="00B17D0C"/>
    <w:rsid w:val="00B4279A"/>
    <w:rsid w:val="00B42D11"/>
    <w:rsid w:val="00B43F38"/>
    <w:rsid w:val="00B555F7"/>
    <w:rsid w:val="00BD4E18"/>
    <w:rsid w:val="00BE43CA"/>
    <w:rsid w:val="00C07791"/>
    <w:rsid w:val="00C14ACC"/>
    <w:rsid w:val="00C41A7B"/>
    <w:rsid w:val="00C44DF7"/>
    <w:rsid w:val="00C52C24"/>
    <w:rsid w:val="00C57709"/>
    <w:rsid w:val="00CA0E54"/>
    <w:rsid w:val="00CB6BD6"/>
    <w:rsid w:val="00CC2B66"/>
    <w:rsid w:val="00CE7EA9"/>
    <w:rsid w:val="00CF6AB2"/>
    <w:rsid w:val="00D0047B"/>
    <w:rsid w:val="00D55731"/>
    <w:rsid w:val="00D601EF"/>
    <w:rsid w:val="00DB0855"/>
    <w:rsid w:val="00DB3C3A"/>
    <w:rsid w:val="00DB7708"/>
    <w:rsid w:val="00DE3409"/>
    <w:rsid w:val="00E046B5"/>
    <w:rsid w:val="00E3019C"/>
    <w:rsid w:val="00E30AC6"/>
    <w:rsid w:val="00E714E1"/>
    <w:rsid w:val="00E951E9"/>
    <w:rsid w:val="00E955CE"/>
    <w:rsid w:val="00EE4BC8"/>
    <w:rsid w:val="00EE500B"/>
    <w:rsid w:val="00F30920"/>
    <w:rsid w:val="00F3688A"/>
    <w:rsid w:val="00F52CB7"/>
    <w:rsid w:val="00F54AD3"/>
    <w:rsid w:val="00F63151"/>
    <w:rsid w:val="00F76003"/>
    <w:rsid w:val="00F83D8E"/>
    <w:rsid w:val="00FA7EB9"/>
    <w:rsid w:val="00FD371F"/>
    <w:rsid w:val="00FE710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avi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psroro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8E200-D183-44C5-AE8F-5E43762C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2</cp:revision>
  <cp:lastPrinted>2015-11-20T14:21:00Z</cp:lastPrinted>
  <dcterms:created xsi:type="dcterms:W3CDTF">2016-06-23T10:23:00Z</dcterms:created>
  <dcterms:modified xsi:type="dcterms:W3CDTF">2016-06-23T10:23:00Z</dcterms:modified>
</cp:coreProperties>
</file>