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EE" w:rsidRPr="005B2AEE" w:rsidRDefault="005B2AEE" w:rsidP="005B2AEE">
      <w:pPr>
        <w:pStyle w:val="a3"/>
        <w:spacing w:before="0" w:beforeAutospacing="0" w:after="210" w:afterAutospacing="0"/>
        <w:jc w:val="both"/>
        <w:rPr>
          <w:sz w:val="28"/>
          <w:szCs w:val="28"/>
        </w:rPr>
      </w:pPr>
      <w:bookmarkStart w:id="0" w:name="_GoBack"/>
      <w:bookmarkEnd w:id="0"/>
    </w:p>
    <w:tbl>
      <w:tblPr>
        <w:tblpPr w:leftFromText="45" w:rightFromText="45" w:vertAnchor="text"/>
        <w:tblW w:w="10490" w:type="dxa"/>
        <w:tblCellSpacing w:w="0" w:type="dxa"/>
        <w:tblLayout w:type="fixed"/>
        <w:tblCellMar>
          <w:left w:w="0" w:type="dxa"/>
          <w:right w:w="0" w:type="dxa"/>
        </w:tblCellMar>
        <w:tblLook w:val="04A0" w:firstRow="1" w:lastRow="0" w:firstColumn="1" w:lastColumn="0" w:noHBand="0" w:noVBand="1"/>
      </w:tblPr>
      <w:tblGrid>
        <w:gridCol w:w="10490"/>
      </w:tblGrid>
      <w:tr w:rsidR="005B2AEE" w:rsidRPr="005B2AEE" w:rsidTr="00E85EA4">
        <w:trPr>
          <w:trHeight w:val="525"/>
          <w:tblCellSpacing w:w="0" w:type="dxa"/>
        </w:trPr>
        <w:tc>
          <w:tcPr>
            <w:tcW w:w="10490" w:type="dxa"/>
            <w:vAlign w:val="bottom"/>
            <w:hideMark/>
          </w:tcPr>
          <w:p w:rsidR="005B2AEE" w:rsidRPr="005B2AEE" w:rsidRDefault="005B2AEE" w:rsidP="005B2AEE">
            <w:pPr>
              <w:spacing w:after="0" w:line="240" w:lineRule="auto"/>
              <w:jc w:val="center"/>
              <w:rPr>
                <w:rFonts w:ascii="Times New Roman" w:eastAsia="Times New Roman" w:hAnsi="Times New Roman" w:cs="Times New Roman"/>
                <w:sz w:val="24"/>
                <w:szCs w:val="24"/>
                <w:lang w:eastAsia="ru-RU"/>
              </w:rPr>
            </w:pPr>
            <w:r w:rsidRPr="005B2AEE">
              <w:rPr>
                <w:rFonts w:ascii="Arial" w:eastAsia="Times New Roman" w:hAnsi="Arial" w:cs="Arial"/>
                <w:b/>
                <w:bCs/>
                <w:color w:val="363636"/>
                <w:sz w:val="32"/>
                <w:szCs w:val="32"/>
                <w:lang w:eastAsia="ru-RU"/>
              </w:rPr>
              <w:t>ПРОГРАММА КОНГРЕССА</w:t>
            </w:r>
          </w:p>
        </w:tc>
      </w:tr>
      <w:tr w:rsidR="005B2AEE" w:rsidRPr="005B2AEE" w:rsidTr="00E85EA4">
        <w:trPr>
          <w:trHeight w:val="75"/>
          <w:tblCellSpacing w:w="0" w:type="dxa"/>
        </w:trPr>
        <w:tc>
          <w:tcPr>
            <w:tcW w:w="10490" w:type="dxa"/>
            <w:vAlign w:val="bottom"/>
            <w:hideMark/>
          </w:tcPr>
          <w:p w:rsidR="005B2AEE" w:rsidRPr="005B2AEE" w:rsidRDefault="005B2AEE" w:rsidP="005B2AEE">
            <w:pPr>
              <w:spacing w:after="0" w:line="240" w:lineRule="auto"/>
              <w:jc w:val="center"/>
              <w:rPr>
                <w:rFonts w:ascii="Times New Roman" w:eastAsia="Times New Roman" w:hAnsi="Times New Roman" w:cs="Times New Roman"/>
                <w:sz w:val="24"/>
                <w:szCs w:val="24"/>
                <w:lang w:eastAsia="ru-RU"/>
              </w:rPr>
            </w:pPr>
          </w:p>
        </w:tc>
      </w:tr>
      <w:tr w:rsidR="005B2AEE" w:rsidRPr="005B2AEE" w:rsidTr="00E85EA4">
        <w:trPr>
          <w:trHeight w:val="225"/>
          <w:tblCellSpacing w:w="0" w:type="dxa"/>
        </w:trPr>
        <w:tc>
          <w:tcPr>
            <w:tcW w:w="10490" w:type="dxa"/>
            <w:hideMark/>
          </w:tcPr>
          <w:p w:rsidR="005B2AEE" w:rsidRPr="005B2AEE" w:rsidRDefault="005B2AEE" w:rsidP="005B2AEE">
            <w:pPr>
              <w:spacing w:after="0" w:line="240" w:lineRule="auto"/>
              <w:jc w:val="center"/>
              <w:rPr>
                <w:rFonts w:ascii="Times New Roman" w:eastAsia="Times New Roman" w:hAnsi="Times New Roman" w:cs="Times New Roman"/>
                <w:sz w:val="24"/>
                <w:szCs w:val="24"/>
                <w:lang w:eastAsia="ru-RU"/>
              </w:rPr>
            </w:pPr>
            <w:r w:rsidRPr="005B2AEE">
              <w:rPr>
                <w:rFonts w:ascii="Times New Roman" w:eastAsia="Times New Roman" w:hAnsi="Times New Roman" w:cs="Times New Roman"/>
                <w:noProof/>
                <w:sz w:val="24"/>
                <w:szCs w:val="24"/>
                <w:lang w:eastAsia="ru-RU"/>
              </w:rPr>
              <w:drawing>
                <wp:inline distT="0" distB="0" distL="0" distR="0">
                  <wp:extent cx="3371850" cy="95250"/>
                  <wp:effectExtent l="0" t="0" r="0" b="0"/>
                  <wp:docPr id="6" name="Рисунок 6" descr="http://www.asergroup.ru/_design/design-002/t003/images/mbody-fon-17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ergroup.ru/_design/design-002/t003/images/mbody-fon-17a.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1850" cy="95250"/>
                          </a:xfrm>
                          <a:prstGeom prst="rect">
                            <a:avLst/>
                          </a:prstGeom>
                          <a:noFill/>
                          <a:ln>
                            <a:noFill/>
                          </a:ln>
                        </pic:spPr>
                      </pic:pic>
                    </a:graphicData>
                  </a:graphic>
                </wp:inline>
              </w:drawing>
            </w:r>
          </w:p>
        </w:tc>
      </w:tr>
      <w:tr w:rsidR="005B2AEE" w:rsidRPr="005B2AEE" w:rsidTr="00E85EA4">
        <w:trPr>
          <w:tblCellSpacing w:w="0" w:type="dxa"/>
        </w:trPr>
        <w:tc>
          <w:tcPr>
            <w:tcW w:w="10490" w:type="dxa"/>
            <w:vAlign w:val="center"/>
            <w:hideMark/>
          </w:tcPr>
          <w:tbl>
            <w:tblPr>
              <w:tblW w:w="11085" w:type="dxa"/>
              <w:jc w:val="center"/>
              <w:tblCellSpacing w:w="0" w:type="dxa"/>
              <w:tblLayout w:type="fixed"/>
              <w:tblCellMar>
                <w:left w:w="0" w:type="dxa"/>
                <w:right w:w="0" w:type="dxa"/>
              </w:tblCellMar>
              <w:tblLook w:val="04A0" w:firstRow="1" w:lastRow="0" w:firstColumn="1" w:lastColumn="0" w:noHBand="0" w:noVBand="1"/>
            </w:tblPr>
            <w:tblGrid>
              <w:gridCol w:w="180"/>
              <w:gridCol w:w="10725"/>
              <w:gridCol w:w="180"/>
            </w:tblGrid>
            <w:tr w:rsidR="005B2AEE" w:rsidRPr="005B2AEE" w:rsidTr="00E85EA4">
              <w:trPr>
                <w:trHeight w:val="180"/>
                <w:tblCellSpacing w:w="0" w:type="dxa"/>
                <w:jc w:val="center"/>
              </w:trPr>
              <w:tc>
                <w:tcPr>
                  <w:tcW w:w="180" w:type="dxa"/>
                  <w:vAlign w:val="center"/>
                  <w:hideMark/>
                </w:tcPr>
                <w:p w:rsidR="005B2AEE" w:rsidRPr="005B2AEE" w:rsidRDefault="005B2AEE" w:rsidP="005B2AEE">
                  <w:pPr>
                    <w:framePr w:hSpace="45" w:wrap="around" w:vAnchor="text" w:hAnchor="text"/>
                    <w:spacing w:after="0" w:line="240" w:lineRule="auto"/>
                    <w:jc w:val="center"/>
                    <w:rPr>
                      <w:rFonts w:ascii="Times New Roman" w:eastAsia="Times New Roman" w:hAnsi="Times New Roman" w:cs="Times New Roman"/>
                      <w:sz w:val="24"/>
                      <w:szCs w:val="24"/>
                      <w:lang w:eastAsia="ru-RU"/>
                    </w:rPr>
                  </w:pPr>
                </w:p>
              </w:tc>
              <w:tc>
                <w:tcPr>
                  <w:tcW w:w="10725" w:type="dxa"/>
                  <w:vAlign w:val="center"/>
                  <w:hideMark/>
                </w:tcPr>
                <w:p w:rsidR="005B2AEE" w:rsidRPr="005B2AEE" w:rsidRDefault="005B2AEE" w:rsidP="005B2AEE">
                  <w:pPr>
                    <w:framePr w:hSpace="45" w:wrap="around" w:vAnchor="text" w:hAnchor="text"/>
                    <w:spacing w:after="0" w:line="240" w:lineRule="auto"/>
                    <w:jc w:val="center"/>
                    <w:rPr>
                      <w:rFonts w:ascii="Times New Roman" w:eastAsia="Times New Roman" w:hAnsi="Times New Roman" w:cs="Times New Roman"/>
                      <w:sz w:val="20"/>
                      <w:szCs w:val="20"/>
                      <w:lang w:eastAsia="ru-RU"/>
                    </w:rPr>
                  </w:pPr>
                </w:p>
              </w:tc>
              <w:tc>
                <w:tcPr>
                  <w:tcW w:w="180" w:type="dxa"/>
                  <w:vAlign w:val="center"/>
                  <w:hideMark/>
                </w:tcPr>
                <w:p w:rsidR="005B2AEE" w:rsidRPr="005B2AEE" w:rsidRDefault="005B2AEE" w:rsidP="005B2AEE">
                  <w:pPr>
                    <w:framePr w:hSpace="45" w:wrap="around" w:vAnchor="text" w:hAnchor="text"/>
                    <w:spacing w:after="0" w:line="240" w:lineRule="auto"/>
                    <w:jc w:val="center"/>
                    <w:rPr>
                      <w:rFonts w:ascii="Times New Roman" w:eastAsia="Times New Roman" w:hAnsi="Times New Roman" w:cs="Times New Roman"/>
                      <w:sz w:val="20"/>
                      <w:szCs w:val="20"/>
                      <w:lang w:eastAsia="ru-RU"/>
                    </w:rPr>
                  </w:pPr>
                </w:p>
              </w:tc>
            </w:tr>
          </w:tbl>
          <w:p w:rsidR="005B2AEE" w:rsidRPr="005B2AEE" w:rsidRDefault="005B2AEE" w:rsidP="005B2AEE">
            <w:pPr>
              <w:spacing w:after="0" w:line="240" w:lineRule="auto"/>
              <w:jc w:val="center"/>
              <w:rPr>
                <w:rFonts w:ascii="Times New Roman" w:eastAsia="Times New Roman" w:hAnsi="Times New Roman" w:cs="Times New Roman"/>
                <w:vanish/>
                <w:sz w:val="24"/>
                <w:szCs w:val="24"/>
                <w:lang w:eastAsia="ru-RU"/>
              </w:rPr>
            </w:pPr>
          </w:p>
          <w:tbl>
            <w:tblPr>
              <w:tblW w:w="11085" w:type="dxa"/>
              <w:jc w:val="center"/>
              <w:tblCellSpacing w:w="0" w:type="dxa"/>
              <w:tblLayout w:type="fixed"/>
              <w:tblCellMar>
                <w:left w:w="0" w:type="dxa"/>
                <w:right w:w="0" w:type="dxa"/>
              </w:tblCellMar>
              <w:tblLook w:val="04A0" w:firstRow="1" w:lastRow="0" w:firstColumn="1" w:lastColumn="0" w:noHBand="0" w:noVBand="1"/>
            </w:tblPr>
            <w:tblGrid>
              <w:gridCol w:w="185"/>
              <w:gridCol w:w="155"/>
              <w:gridCol w:w="10745"/>
            </w:tblGrid>
            <w:tr w:rsidR="005B2AEE" w:rsidRPr="005B2AEE" w:rsidTr="00E85EA4">
              <w:trPr>
                <w:tblCellSpacing w:w="0" w:type="dxa"/>
                <w:jc w:val="center"/>
              </w:trPr>
              <w:tc>
                <w:tcPr>
                  <w:tcW w:w="180" w:type="dxa"/>
                  <w:vAlign w:val="center"/>
                  <w:hideMark/>
                </w:tcPr>
                <w:p w:rsidR="005B2AEE" w:rsidRPr="005B2AEE" w:rsidRDefault="005B2AEE" w:rsidP="005B2AEE">
                  <w:pPr>
                    <w:framePr w:hSpace="45" w:wrap="around" w:vAnchor="text" w:hAnchor="text"/>
                    <w:spacing w:after="0" w:line="240" w:lineRule="auto"/>
                    <w:jc w:val="center"/>
                    <w:rPr>
                      <w:rFonts w:ascii="Times New Roman" w:eastAsia="Times New Roman" w:hAnsi="Times New Roman" w:cs="Times New Roman"/>
                      <w:sz w:val="24"/>
                      <w:szCs w:val="24"/>
                      <w:lang w:eastAsia="ru-RU"/>
                    </w:rPr>
                  </w:pPr>
                </w:p>
              </w:tc>
              <w:tc>
                <w:tcPr>
                  <w:tcW w:w="150" w:type="dxa"/>
                  <w:vAlign w:val="center"/>
                  <w:hideMark/>
                </w:tcPr>
                <w:p w:rsidR="005B2AEE" w:rsidRPr="005B2AEE" w:rsidRDefault="005B2AEE" w:rsidP="005B2AEE">
                  <w:pPr>
                    <w:framePr w:hSpace="45" w:wrap="around" w:vAnchor="text" w:hAnchor="text"/>
                    <w:spacing w:after="0" w:line="240" w:lineRule="auto"/>
                    <w:jc w:val="center"/>
                    <w:rPr>
                      <w:rFonts w:ascii="Times New Roman" w:eastAsia="Times New Roman" w:hAnsi="Times New Roman" w:cs="Times New Roman"/>
                      <w:sz w:val="20"/>
                      <w:szCs w:val="20"/>
                      <w:lang w:eastAsia="ru-RU"/>
                    </w:rPr>
                  </w:pPr>
                </w:p>
              </w:tc>
              <w:tc>
                <w:tcPr>
                  <w:tcW w:w="10425" w:type="dxa"/>
                  <w:vAlign w:val="center"/>
                  <w:hideMark/>
                </w:tcPr>
                <w:tbl>
                  <w:tblPr>
                    <w:tblpPr w:leftFromText="45" w:rightFromText="45" w:vertAnchor="text"/>
                    <w:tblW w:w="10425" w:type="dxa"/>
                    <w:tblCellSpacing w:w="0" w:type="dxa"/>
                    <w:tblLayout w:type="fixed"/>
                    <w:tblCellMar>
                      <w:left w:w="0" w:type="dxa"/>
                      <w:right w:w="0" w:type="dxa"/>
                    </w:tblCellMar>
                    <w:tblLook w:val="04A0" w:firstRow="1" w:lastRow="0" w:firstColumn="1" w:lastColumn="0" w:noHBand="0" w:noVBand="1"/>
                  </w:tblPr>
                  <w:tblGrid>
                    <w:gridCol w:w="10425"/>
                  </w:tblGrid>
                  <w:tr w:rsidR="005B2AEE" w:rsidRPr="005B2AEE" w:rsidTr="00E85EA4">
                    <w:trPr>
                      <w:tblCellSpacing w:w="0" w:type="dxa"/>
                    </w:trPr>
                    <w:tc>
                      <w:tcPr>
                        <w:tcW w:w="10425" w:type="dxa"/>
                        <w:vAlign w:val="center"/>
                        <w:hideMark/>
                      </w:tcPr>
                      <w:tbl>
                        <w:tblPr>
                          <w:tblW w:w="10425" w:type="dxa"/>
                          <w:jc w:val="center"/>
                          <w:tblCellSpacing w:w="0" w:type="dxa"/>
                          <w:tblLayout w:type="fixed"/>
                          <w:tblCellMar>
                            <w:left w:w="0" w:type="dxa"/>
                            <w:right w:w="0" w:type="dxa"/>
                          </w:tblCellMar>
                          <w:tblLook w:val="04A0" w:firstRow="1" w:lastRow="0" w:firstColumn="1" w:lastColumn="0" w:noHBand="0" w:noVBand="1"/>
                        </w:tblPr>
                        <w:tblGrid>
                          <w:gridCol w:w="1500"/>
                          <w:gridCol w:w="8925"/>
                        </w:tblGrid>
                        <w:tr w:rsidR="005B2AEE" w:rsidRPr="005B2AEE" w:rsidTr="00E85EA4">
                          <w:trPr>
                            <w:trHeight w:val="1500"/>
                            <w:tblCellSpacing w:w="0" w:type="dxa"/>
                            <w:jc w:val="center"/>
                          </w:trPr>
                          <w:tc>
                            <w:tcPr>
                              <w:tcW w:w="1500" w:type="dxa"/>
                              <w:vAlign w:val="center"/>
                              <w:hideMark/>
                            </w:tcPr>
                            <w:p w:rsidR="005B2AEE" w:rsidRPr="005B2AEE" w:rsidRDefault="005B2AEE" w:rsidP="005B2AEE">
                              <w:pPr>
                                <w:framePr w:hSpace="45" w:wrap="around" w:vAnchor="text" w:hAnchor="text"/>
                                <w:spacing w:after="0" w:line="240" w:lineRule="auto"/>
                                <w:jc w:val="center"/>
                                <w:rPr>
                                  <w:rFonts w:ascii="Times New Roman" w:eastAsia="Times New Roman" w:hAnsi="Times New Roman" w:cs="Times New Roman"/>
                                  <w:sz w:val="24"/>
                                  <w:szCs w:val="24"/>
                                  <w:lang w:eastAsia="ru-RU"/>
                                </w:rPr>
                              </w:pPr>
                              <w:r w:rsidRPr="005B2AEE">
                                <w:rPr>
                                  <w:rFonts w:ascii="Times New Roman" w:eastAsia="Times New Roman" w:hAnsi="Times New Roman" w:cs="Times New Roman"/>
                                  <w:noProof/>
                                  <w:sz w:val="24"/>
                                  <w:szCs w:val="24"/>
                                  <w:lang w:eastAsia="ru-RU"/>
                                </w:rPr>
                                <w:drawing>
                                  <wp:inline distT="0" distB="0" distL="0" distR="0">
                                    <wp:extent cx="714375" cy="657225"/>
                                    <wp:effectExtent l="0" t="0" r="9525" b="9525"/>
                                    <wp:docPr id="5" name="Рисунок 5" descr="http://www.asergroup.ru/_design/design-002/t003/images/logo-0000_(hv75x69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ergroup.ru/_design/design-002/t003/images/logo-0000_(hv75x69p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657225"/>
                                            </a:xfrm>
                                            <a:prstGeom prst="rect">
                                              <a:avLst/>
                                            </a:prstGeom>
                                            <a:noFill/>
                                            <a:ln>
                                              <a:noFill/>
                                            </a:ln>
                                          </pic:spPr>
                                        </pic:pic>
                                      </a:graphicData>
                                    </a:graphic>
                                  </wp:inline>
                                </w:drawing>
                              </w:r>
                            </w:p>
                          </w:tc>
                          <w:tc>
                            <w:tcPr>
                              <w:tcW w:w="8925" w:type="dxa"/>
                              <w:vAlign w:val="center"/>
                              <w:hideMark/>
                            </w:tcPr>
                            <w:p w:rsidR="005B2AEE" w:rsidRPr="005B2AEE" w:rsidRDefault="005B2AEE" w:rsidP="005B2AEE">
                              <w:pPr>
                                <w:framePr w:hSpace="45" w:wrap="around" w:vAnchor="text" w:hAnchor="text"/>
                                <w:spacing w:after="240" w:line="240" w:lineRule="auto"/>
                                <w:rPr>
                                  <w:rFonts w:ascii="Times New Roman" w:eastAsia="Times New Roman" w:hAnsi="Times New Roman" w:cs="Times New Roman"/>
                                  <w:sz w:val="24"/>
                                  <w:szCs w:val="24"/>
                                  <w:lang w:eastAsia="ru-RU"/>
                                </w:rPr>
                              </w:pPr>
                              <w:r w:rsidRPr="005B2AEE">
                                <w:rPr>
                                  <w:rFonts w:ascii="Times New Roman" w:eastAsia="Times New Roman" w:hAnsi="Times New Roman" w:cs="Times New Roman"/>
                                  <w:sz w:val="24"/>
                                  <w:szCs w:val="24"/>
                                  <w:lang w:eastAsia="ru-RU"/>
                                </w:rPr>
                                <w:br/>
                              </w:r>
                              <w:proofErr w:type="gramStart"/>
                              <w:r w:rsidRPr="005B2AEE">
                                <w:rPr>
                                  <w:rFonts w:ascii="Verdana" w:eastAsia="Times New Roman" w:hAnsi="Verdana" w:cs="Times New Roman"/>
                                  <w:color w:val="36648B"/>
                                  <w:sz w:val="20"/>
                                  <w:szCs w:val="20"/>
                                  <w:lang w:eastAsia="ru-RU"/>
                                </w:rPr>
                                <w:t>КОНГРЕСС</w:t>
                              </w:r>
                              <w:r w:rsidRPr="005B2AEE">
                                <w:rPr>
                                  <w:rFonts w:ascii="Verdana" w:eastAsia="Times New Roman" w:hAnsi="Verdana" w:cs="Times New Roman"/>
                                  <w:color w:val="36648B"/>
                                  <w:sz w:val="20"/>
                                  <w:szCs w:val="20"/>
                                  <w:lang w:eastAsia="ru-RU"/>
                                </w:rPr>
                                <w:br/>
                              </w:r>
                              <w:r w:rsidRPr="005B2AEE">
                                <w:rPr>
                                  <w:rFonts w:ascii="Verdana" w:eastAsia="Times New Roman" w:hAnsi="Verdana" w:cs="Times New Roman"/>
                                  <w:color w:val="36648B"/>
                                  <w:sz w:val="32"/>
                                  <w:szCs w:val="32"/>
                                  <w:lang w:eastAsia="ru-RU"/>
                                </w:rPr>
                                <w:t>«</w:t>
                              </w:r>
                              <w:proofErr w:type="gramEnd"/>
                              <w:r w:rsidRPr="005B2AEE">
                                <w:rPr>
                                  <w:rFonts w:ascii="Verdana" w:eastAsia="Times New Roman" w:hAnsi="Verdana" w:cs="Times New Roman"/>
                                  <w:color w:val="36648B"/>
                                  <w:sz w:val="32"/>
                                  <w:szCs w:val="32"/>
                                  <w:lang w:eastAsia="ru-RU"/>
                                </w:rPr>
                                <w:t>ЭКОНОМИКО-ПРАВОВОЕ РЕГУЛИРОВАНИЕ ИННОВАЦИОННОЙ ДЕЯТЕЛЬНОСТИ»</w:t>
                              </w:r>
                              <w:r w:rsidRPr="005B2AEE">
                                <w:rPr>
                                  <w:rFonts w:ascii="Verdana" w:eastAsia="Times New Roman" w:hAnsi="Verdana" w:cs="Times New Roman"/>
                                  <w:color w:val="36648B"/>
                                  <w:sz w:val="32"/>
                                  <w:szCs w:val="32"/>
                                  <w:lang w:eastAsia="ru-RU"/>
                                </w:rPr>
                                <w:br/>
                              </w:r>
                              <w:r w:rsidRPr="005B2AEE">
                                <w:rPr>
                                  <w:rFonts w:ascii="Verdana" w:eastAsia="Times New Roman" w:hAnsi="Verdana" w:cs="Times New Roman"/>
                                  <w:color w:val="000000"/>
                                  <w:sz w:val="16"/>
                                  <w:szCs w:val="16"/>
                                  <w:lang w:eastAsia="ru-RU"/>
                                </w:rPr>
                                <w:br/>
                                <w:t>КОНГРЕСС-ЦЕНТР ГОСТИНИЦЫ "КОСМОС МОСКВА" 3 октября 2016г.</w:t>
                              </w:r>
                            </w:p>
                          </w:tc>
                        </w:tr>
                      </w:tbl>
                      <w:p w:rsidR="005B2AEE" w:rsidRPr="005B2AEE" w:rsidRDefault="005B2AEE" w:rsidP="005B2AEE">
                        <w:pPr>
                          <w:spacing w:after="0" w:line="240" w:lineRule="auto"/>
                          <w:rPr>
                            <w:rFonts w:ascii="Times New Roman" w:eastAsia="Times New Roman" w:hAnsi="Times New Roman" w:cs="Times New Roman"/>
                            <w:sz w:val="24"/>
                            <w:szCs w:val="24"/>
                            <w:lang w:eastAsia="ru-RU"/>
                          </w:rPr>
                        </w:pPr>
                      </w:p>
                    </w:tc>
                  </w:tr>
                  <w:tr w:rsidR="005B2AEE" w:rsidRPr="005B2AEE" w:rsidTr="00E85EA4">
                    <w:trPr>
                      <w:tblCellSpacing w:w="0" w:type="dxa"/>
                    </w:trPr>
                    <w:tc>
                      <w:tcPr>
                        <w:tcW w:w="10425" w:type="dxa"/>
                        <w:vAlign w:val="center"/>
                        <w:hideMark/>
                      </w:tcPr>
                      <w:p w:rsidR="005B2AEE" w:rsidRPr="005B2AEE" w:rsidRDefault="005B2AEE" w:rsidP="005B2AEE">
                        <w:pPr>
                          <w:spacing w:after="0" w:line="240" w:lineRule="auto"/>
                          <w:rPr>
                            <w:rFonts w:ascii="Times New Roman" w:eastAsia="Times New Roman" w:hAnsi="Times New Roman" w:cs="Times New Roman"/>
                            <w:sz w:val="20"/>
                            <w:szCs w:val="20"/>
                            <w:lang w:eastAsia="ru-RU"/>
                          </w:rPr>
                        </w:pPr>
                      </w:p>
                    </w:tc>
                  </w:tr>
                  <w:tr w:rsidR="005B2AEE" w:rsidRPr="005B2AEE" w:rsidTr="00E85EA4">
                    <w:trPr>
                      <w:trHeight w:val="15"/>
                      <w:tblCellSpacing w:w="0" w:type="dxa"/>
                    </w:trPr>
                    <w:tc>
                      <w:tcPr>
                        <w:tcW w:w="10425" w:type="dxa"/>
                        <w:shd w:val="clear" w:color="auto" w:fill="000000"/>
                        <w:vAlign w:val="center"/>
                        <w:hideMark/>
                      </w:tcPr>
                      <w:p w:rsidR="005B2AEE" w:rsidRPr="005B2AEE" w:rsidRDefault="005B2AEE" w:rsidP="005B2AEE">
                        <w:pPr>
                          <w:spacing w:after="0" w:line="240" w:lineRule="auto"/>
                          <w:rPr>
                            <w:rFonts w:ascii="Times New Roman" w:eastAsia="Times New Roman" w:hAnsi="Times New Roman" w:cs="Times New Roman"/>
                            <w:sz w:val="20"/>
                            <w:szCs w:val="20"/>
                            <w:lang w:eastAsia="ru-RU"/>
                          </w:rPr>
                        </w:pPr>
                      </w:p>
                    </w:tc>
                  </w:tr>
                  <w:tr w:rsidR="005B2AEE" w:rsidRPr="005B2AEE" w:rsidTr="00E85EA4">
                    <w:trPr>
                      <w:tblCellSpacing w:w="0" w:type="dxa"/>
                    </w:trPr>
                    <w:tc>
                      <w:tcPr>
                        <w:tcW w:w="10425" w:type="dxa"/>
                        <w:vAlign w:val="center"/>
                        <w:hideMark/>
                      </w:tcPr>
                      <w:tbl>
                        <w:tblPr>
                          <w:tblW w:w="10425" w:type="dxa"/>
                          <w:jc w:val="center"/>
                          <w:tblCellSpacing w:w="0" w:type="dxa"/>
                          <w:tblLayout w:type="fixed"/>
                          <w:tblCellMar>
                            <w:left w:w="0" w:type="dxa"/>
                            <w:right w:w="0" w:type="dxa"/>
                          </w:tblCellMar>
                          <w:tblLook w:val="04A0" w:firstRow="1" w:lastRow="0" w:firstColumn="1" w:lastColumn="0" w:noHBand="0" w:noVBand="1"/>
                        </w:tblPr>
                        <w:tblGrid>
                          <w:gridCol w:w="4500"/>
                          <w:gridCol w:w="5925"/>
                        </w:tblGrid>
                        <w:tr w:rsidR="005B2AEE" w:rsidRPr="005B2AEE" w:rsidTr="00E85EA4">
                          <w:trPr>
                            <w:tblCellSpacing w:w="0" w:type="dxa"/>
                            <w:jc w:val="center"/>
                          </w:trPr>
                          <w:tc>
                            <w:tcPr>
                              <w:tcW w:w="4500" w:type="dxa"/>
                              <w:vAlign w:val="center"/>
                              <w:hideMark/>
                            </w:tcPr>
                            <w:p w:rsidR="005B2AEE" w:rsidRPr="005B2AEE" w:rsidRDefault="005B2AEE" w:rsidP="005B2AEE">
                              <w:pPr>
                                <w:framePr w:hSpace="45" w:wrap="around" w:vAnchor="text" w:hAnchor="text"/>
                                <w:spacing w:after="0" w:line="240" w:lineRule="auto"/>
                                <w:rPr>
                                  <w:rFonts w:ascii="Times New Roman" w:eastAsia="Times New Roman" w:hAnsi="Times New Roman" w:cs="Times New Roman"/>
                                  <w:sz w:val="24"/>
                                  <w:szCs w:val="24"/>
                                  <w:lang w:eastAsia="ru-RU"/>
                                </w:rPr>
                              </w:pPr>
                              <w:r w:rsidRPr="005B2AEE">
                                <w:rPr>
                                  <w:rFonts w:ascii="Times New Roman" w:eastAsia="Times New Roman" w:hAnsi="Times New Roman" w:cs="Times New Roman"/>
                                  <w:sz w:val="24"/>
                                  <w:szCs w:val="24"/>
                                  <w:lang w:eastAsia="ru-RU"/>
                                </w:rPr>
                                <w:br/>
                              </w:r>
                              <w:r w:rsidRPr="005B2AEE">
                                <w:rPr>
                                  <w:rFonts w:ascii="Verdana" w:eastAsia="Times New Roman" w:hAnsi="Verdana" w:cs="Times New Roman"/>
                                  <w:b/>
                                  <w:bCs/>
                                  <w:color w:val="000000"/>
                                  <w:sz w:val="26"/>
                                  <w:szCs w:val="26"/>
                                  <w:lang w:eastAsia="ru-RU"/>
                                </w:rPr>
                                <w:t>ПРОГРАММА СЕМИНАРА</w:t>
                              </w:r>
                            </w:p>
                          </w:tc>
                          <w:tc>
                            <w:tcPr>
                              <w:tcW w:w="5925" w:type="dxa"/>
                              <w:vAlign w:val="center"/>
                              <w:hideMark/>
                            </w:tcPr>
                            <w:p w:rsidR="005B2AEE" w:rsidRPr="005B2AEE" w:rsidRDefault="005B2AEE" w:rsidP="005B2AEE">
                              <w:pPr>
                                <w:framePr w:hSpace="45" w:wrap="around" w:vAnchor="text" w:hAnchor="text"/>
                                <w:spacing w:after="0" w:line="240" w:lineRule="auto"/>
                                <w:jc w:val="right"/>
                                <w:rPr>
                                  <w:rFonts w:ascii="Times New Roman" w:eastAsia="Times New Roman" w:hAnsi="Times New Roman" w:cs="Times New Roman"/>
                                  <w:sz w:val="24"/>
                                  <w:szCs w:val="24"/>
                                  <w:lang w:eastAsia="ru-RU"/>
                                </w:rPr>
                              </w:pPr>
                              <w:r w:rsidRPr="005B2AEE">
                                <w:rPr>
                                  <w:rFonts w:ascii="Verdana" w:eastAsia="Times New Roman" w:hAnsi="Verdana" w:cs="Times New Roman"/>
                                  <w:b/>
                                  <w:bCs/>
                                  <w:color w:val="FFFFFF"/>
                                  <w:sz w:val="28"/>
                                  <w:szCs w:val="28"/>
                                  <w:lang w:eastAsia="ru-RU"/>
                                </w:rPr>
                                <w:t>3 октября 2016</w:t>
                              </w:r>
                              <w:r w:rsidRPr="005B2AEE">
                                <w:rPr>
                                  <w:rFonts w:ascii="Times New Roman" w:eastAsia="Times New Roman" w:hAnsi="Times New Roman" w:cs="Times New Roman"/>
                                  <w:sz w:val="24"/>
                                  <w:szCs w:val="24"/>
                                  <w:lang w:eastAsia="ru-RU"/>
                                </w:rPr>
                                <w:br/>
                              </w:r>
                              <w:r w:rsidRPr="005B2AEE">
                                <w:rPr>
                                  <w:rFonts w:ascii="Verdana" w:eastAsia="Times New Roman" w:hAnsi="Verdana" w:cs="Times New Roman"/>
                                  <w:color w:val="FFFFFF"/>
                                  <w:sz w:val="20"/>
                                  <w:szCs w:val="20"/>
                                  <w:lang w:eastAsia="ru-RU"/>
                                </w:rPr>
                                <w:t>Конгресс-центр гостиницы «Космос Москва», зал «Галактика»</w:t>
                              </w:r>
                            </w:p>
                          </w:tc>
                        </w:tr>
                      </w:tbl>
                      <w:p w:rsidR="005B2AEE" w:rsidRPr="005B2AEE" w:rsidRDefault="005B2AEE" w:rsidP="005B2AEE">
                        <w:pPr>
                          <w:spacing w:after="0" w:line="240" w:lineRule="auto"/>
                          <w:rPr>
                            <w:rFonts w:ascii="Times New Roman" w:eastAsia="Times New Roman" w:hAnsi="Times New Roman" w:cs="Times New Roman"/>
                            <w:sz w:val="24"/>
                            <w:szCs w:val="24"/>
                            <w:lang w:eastAsia="ru-RU"/>
                          </w:rPr>
                        </w:pPr>
                      </w:p>
                    </w:tc>
                  </w:tr>
                  <w:tr w:rsidR="005B2AEE" w:rsidRPr="005B2AEE" w:rsidTr="00E85EA4">
                    <w:trPr>
                      <w:trHeight w:val="1005"/>
                      <w:tblCellSpacing w:w="0" w:type="dxa"/>
                    </w:trPr>
                    <w:tc>
                      <w:tcPr>
                        <w:tcW w:w="10425" w:type="dxa"/>
                        <w:vAlign w:val="center"/>
                        <w:hideMark/>
                      </w:tcPr>
                      <w:p w:rsidR="005B2AEE" w:rsidRPr="005B2AEE" w:rsidRDefault="005B2AEE" w:rsidP="00E85EA4">
                        <w:pPr>
                          <w:spacing w:after="0" w:line="240" w:lineRule="auto"/>
                          <w:ind w:right="360"/>
                          <w:rPr>
                            <w:rFonts w:ascii="Times New Roman" w:eastAsia="Times New Roman" w:hAnsi="Times New Roman" w:cs="Times New Roman"/>
                            <w:sz w:val="24"/>
                            <w:szCs w:val="24"/>
                            <w:lang w:eastAsia="ru-RU"/>
                          </w:rPr>
                        </w:pPr>
                        <w:r w:rsidRPr="005B2AEE">
                          <w:rPr>
                            <w:rFonts w:ascii="Times New Roman" w:eastAsia="Times New Roman" w:hAnsi="Times New Roman" w:cs="Times New Roman"/>
                            <w:noProof/>
                            <w:sz w:val="24"/>
                            <w:szCs w:val="24"/>
                            <w:lang w:eastAsia="ru-RU"/>
                          </w:rPr>
                          <w:drawing>
                            <wp:inline distT="0" distB="0" distL="0" distR="0">
                              <wp:extent cx="6381750" cy="638175"/>
                              <wp:effectExtent l="0" t="0" r="0" b="9525"/>
                              <wp:docPr id="4" name="Рисунок 4" descr="http://www.asergroup.ru/_action/0395/images/dayinfo-d1_10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ergroup.ru/_action/0395/images/dayinfo-d1_1000x1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638175"/>
                                      </a:xfrm>
                                      <a:prstGeom prst="rect">
                                        <a:avLst/>
                                      </a:prstGeom>
                                      <a:noFill/>
                                      <a:ln>
                                        <a:noFill/>
                                      </a:ln>
                                    </pic:spPr>
                                  </pic:pic>
                                </a:graphicData>
                              </a:graphic>
                            </wp:inline>
                          </w:drawing>
                        </w:r>
                      </w:p>
                      <w:p w:rsidR="005B2AEE" w:rsidRPr="005B2AEE" w:rsidRDefault="005B2AEE" w:rsidP="005B2AEE">
                        <w:pPr>
                          <w:spacing w:after="0" w:line="240" w:lineRule="auto"/>
                          <w:rPr>
                            <w:rFonts w:ascii="Verdana" w:eastAsia="Times New Roman" w:hAnsi="Verdana" w:cs="Times New Roman"/>
                            <w:color w:val="668B8B"/>
                            <w:sz w:val="24"/>
                            <w:szCs w:val="24"/>
                            <w:lang w:eastAsia="ru-RU"/>
                          </w:rPr>
                        </w:pPr>
                        <w:r w:rsidRPr="005B2AEE">
                          <w:rPr>
                            <w:rFonts w:ascii="Verdana" w:eastAsia="Times New Roman" w:hAnsi="Verdana" w:cs="Times New Roman"/>
                            <w:b/>
                            <w:bCs/>
                            <w:color w:val="668B8B"/>
                            <w:sz w:val="24"/>
                            <w:szCs w:val="24"/>
                            <w:lang w:eastAsia="ru-RU"/>
                          </w:rPr>
                          <w:t xml:space="preserve">«Управление ИС на предприятии. </w:t>
                        </w:r>
                        <w:proofErr w:type="spellStart"/>
                        <w:r w:rsidRPr="005B2AEE">
                          <w:rPr>
                            <w:rFonts w:ascii="Verdana" w:eastAsia="Times New Roman" w:hAnsi="Verdana" w:cs="Times New Roman"/>
                            <w:b/>
                            <w:bCs/>
                            <w:color w:val="668B8B"/>
                            <w:sz w:val="24"/>
                            <w:szCs w:val="24"/>
                            <w:lang w:eastAsia="ru-RU"/>
                          </w:rPr>
                          <w:t>Госконтракты</w:t>
                        </w:r>
                        <w:proofErr w:type="spellEnd"/>
                        <w:r w:rsidRPr="005B2AEE">
                          <w:rPr>
                            <w:rFonts w:ascii="Verdana" w:eastAsia="Times New Roman" w:hAnsi="Verdana" w:cs="Times New Roman"/>
                            <w:b/>
                            <w:bCs/>
                            <w:color w:val="668B8B"/>
                            <w:sz w:val="24"/>
                            <w:szCs w:val="24"/>
                            <w:lang w:eastAsia="ru-RU"/>
                          </w:rPr>
                          <w:t xml:space="preserve"> и вопросы распределения прав. Способы защиты РИД»</w:t>
                        </w:r>
                      </w:p>
                    </w:tc>
                  </w:tr>
                  <w:tr w:rsidR="005B2AEE" w:rsidRPr="005B2AEE" w:rsidTr="00E85EA4">
                    <w:trPr>
                      <w:trHeight w:val="270"/>
                      <w:tblCellSpacing w:w="0" w:type="dxa"/>
                    </w:trPr>
                    <w:tc>
                      <w:tcPr>
                        <w:tcW w:w="10425" w:type="dxa"/>
                        <w:shd w:val="clear" w:color="auto" w:fill="C4C4C4"/>
                        <w:vAlign w:val="center"/>
                        <w:hideMark/>
                      </w:tcPr>
                      <w:p w:rsidR="005B2AEE" w:rsidRPr="005B2AEE" w:rsidRDefault="005B2AEE" w:rsidP="005B2AEE">
                        <w:pPr>
                          <w:spacing w:after="0" w:line="240" w:lineRule="auto"/>
                          <w:rPr>
                            <w:rFonts w:ascii="Times New Roman" w:eastAsia="Times New Roman" w:hAnsi="Times New Roman" w:cs="Times New Roman"/>
                            <w:sz w:val="24"/>
                            <w:szCs w:val="24"/>
                            <w:lang w:eastAsia="ru-RU"/>
                          </w:rPr>
                        </w:pPr>
                        <w:r w:rsidRPr="005B2AEE">
                          <w:rPr>
                            <w:rFonts w:ascii="Verdana" w:eastAsia="Times New Roman" w:hAnsi="Verdana" w:cs="Times New Roman"/>
                            <w:b/>
                            <w:bCs/>
                            <w:color w:val="000000"/>
                            <w:sz w:val="20"/>
                            <w:szCs w:val="20"/>
                            <w:lang w:eastAsia="ru-RU"/>
                          </w:rPr>
                          <w:t>09.00 – 09.30</w:t>
                        </w:r>
                      </w:p>
                    </w:tc>
                  </w:tr>
                  <w:tr w:rsidR="005B2AEE" w:rsidRPr="005B2AEE" w:rsidTr="00E85EA4">
                    <w:trPr>
                      <w:tblCellSpacing w:w="0" w:type="dxa"/>
                    </w:trPr>
                    <w:tc>
                      <w:tcPr>
                        <w:tcW w:w="10425" w:type="dxa"/>
                        <w:vAlign w:val="center"/>
                        <w:hideMark/>
                      </w:tcPr>
                      <w:p w:rsidR="005B2AEE" w:rsidRPr="005B2AEE" w:rsidRDefault="005B2AEE" w:rsidP="005B2AEE">
                        <w:pPr>
                          <w:spacing w:after="0" w:line="240" w:lineRule="auto"/>
                          <w:rPr>
                            <w:rFonts w:ascii="Times New Roman" w:eastAsia="Times New Roman" w:hAnsi="Times New Roman" w:cs="Times New Roman"/>
                            <w:sz w:val="24"/>
                            <w:szCs w:val="24"/>
                            <w:lang w:eastAsia="ru-RU"/>
                          </w:rPr>
                        </w:pPr>
                        <w:r w:rsidRPr="005B2AEE">
                          <w:rPr>
                            <w:rFonts w:ascii="Verdana" w:eastAsia="Times New Roman" w:hAnsi="Verdana" w:cs="Times New Roman"/>
                            <w:color w:val="000000"/>
                            <w:sz w:val="20"/>
                            <w:szCs w:val="20"/>
                            <w:lang w:eastAsia="ru-RU"/>
                          </w:rPr>
                          <w:t>Регистрация участников</w:t>
                        </w:r>
                      </w:p>
                    </w:tc>
                  </w:tr>
                  <w:tr w:rsidR="005B2AEE" w:rsidRPr="005B2AEE" w:rsidTr="00E85EA4">
                    <w:trPr>
                      <w:trHeight w:val="270"/>
                      <w:tblCellSpacing w:w="0" w:type="dxa"/>
                    </w:trPr>
                    <w:tc>
                      <w:tcPr>
                        <w:tcW w:w="10425" w:type="dxa"/>
                        <w:shd w:val="clear" w:color="auto" w:fill="C4C4C4"/>
                        <w:vAlign w:val="center"/>
                        <w:hideMark/>
                      </w:tcPr>
                      <w:p w:rsidR="005B2AEE" w:rsidRPr="005B2AEE" w:rsidRDefault="005B2AEE" w:rsidP="005B2AEE">
                        <w:pPr>
                          <w:spacing w:after="0" w:line="240" w:lineRule="auto"/>
                          <w:rPr>
                            <w:rFonts w:ascii="Times New Roman" w:eastAsia="Times New Roman" w:hAnsi="Times New Roman" w:cs="Times New Roman"/>
                            <w:sz w:val="24"/>
                            <w:szCs w:val="24"/>
                            <w:lang w:eastAsia="ru-RU"/>
                          </w:rPr>
                        </w:pPr>
                        <w:r w:rsidRPr="005B2AEE">
                          <w:rPr>
                            <w:rFonts w:ascii="Verdana" w:eastAsia="Times New Roman" w:hAnsi="Verdana" w:cs="Times New Roman"/>
                            <w:b/>
                            <w:bCs/>
                            <w:color w:val="000000"/>
                            <w:sz w:val="20"/>
                            <w:szCs w:val="20"/>
                            <w:lang w:eastAsia="ru-RU"/>
                          </w:rPr>
                          <w:t>09.30 – 11.30</w:t>
                        </w:r>
                      </w:p>
                    </w:tc>
                  </w:tr>
                  <w:tr w:rsidR="005B2AEE" w:rsidRPr="005B2AEE" w:rsidTr="00E85EA4">
                    <w:trPr>
                      <w:tblCellSpacing w:w="0" w:type="dxa"/>
                    </w:trPr>
                    <w:tc>
                      <w:tcPr>
                        <w:tcW w:w="10425" w:type="dxa"/>
                        <w:vAlign w:val="center"/>
                        <w:hideMark/>
                      </w:tcPr>
                      <w:p w:rsidR="005B2AEE" w:rsidRPr="005B2AEE" w:rsidRDefault="005B2AEE" w:rsidP="005B2AEE">
                        <w:pPr>
                          <w:spacing w:after="0" w:line="240" w:lineRule="auto"/>
                          <w:rPr>
                            <w:rFonts w:ascii="Verdana" w:eastAsia="Times New Roman" w:hAnsi="Verdana" w:cs="Times New Roman"/>
                            <w:color w:val="000000"/>
                            <w:sz w:val="20"/>
                            <w:szCs w:val="20"/>
                            <w:lang w:eastAsia="ru-RU"/>
                          </w:rPr>
                        </w:pPr>
                        <w:r w:rsidRPr="005B2AEE">
                          <w:rPr>
                            <w:rFonts w:ascii="Verdana" w:eastAsia="Times New Roman" w:hAnsi="Verdana" w:cs="Times New Roman"/>
                            <w:b/>
                            <w:bCs/>
                            <w:color w:val="000000"/>
                            <w:sz w:val="20"/>
                            <w:szCs w:val="20"/>
                            <w:lang w:eastAsia="ru-RU"/>
                          </w:rPr>
                          <w:t>Управление интеллектуальной собственностью (ИС) на предприятии и учет прав на результаты интеллектуальной деятельности (РИД) в составе нематериальных активов (НМА</w:t>
                        </w:r>
                        <w:proofErr w:type="gramStart"/>
                        <w:r w:rsidRPr="005B2AEE">
                          <w:rPr>
                            <w:rFonts w:ascii="Verdana" w:eastAsia="Times New Roman" w:hAnsi="Verdana" w:cs="Times New Roman"/>
                            <w:b/>
                            <w:bCs/>
                            <w:color w:val="000000"/>
                            <w:sz w:val="20"/>
                            <w:szCs w:val="20"/>
                            <w:lang w:eastAsia="ru-RU"/>
                          </w:rPr>
                          <w:t>).</w:t>
                        </w:r>
                        <w:r w:rsidRPr="005B2AEE">
                          <w:rPr>
                            <w:rFonts w:ascii="Verdana" w:eastAsia="Times New Roman" w:hAnsi="Verdana" w:cs="Times New Roman"/>
                            <w:color w:val="000000"/>
                            <w:sz w:val="20"/>
                            <w:szCs w:val="20"/>
                            <w:lang w:eastAsia="ru-RU"/>
                          </w:rPr>
                          <w:br/>
                          <w:t>Некоторые</w:t>
                        </w:r>
                        <w:proofErr w:type="gramEnd"/>
                        <w:r w:rsidRPr="005B2AEE">
                          <w:rPr>
                            <w:rFonts w:ascii="Verdana" w:eastAsia="Times New Roman" w:hAnsi="Verdana" w:cs="Times New Roman"/>
                            <w:color w:val="000000"/>
                            <w:sz w:val="20"/>
                            <w:szCs w:val="20"/>
                            <w:lang w:eastAsia="ru-RU"/>
                          </w:rPr>
                          <w:t xml:space="preserve"> вопросы управления ИС и практические рекомендации. Обеспечение инновационного развития, снижение рисков потери результатов инновационной деятельности, решение вопросов, связанных с претензиями по принадлежности прав, конкретные примеры использования РИД, экономическая и техническая выгода от использования РИД, включение результатов интеллектуальной деятельности в состав НМА предприятия. Залог, доверительное управление, внесение интеллектуальных прав в качестве взноса в уставной капитал компании. Формирование реестра интеллектуальной собственности на предприятии. Использование объектов ИС в хозяйственной деятельности и в коммерческом обороте. Баланс интересов между работником-работодателем, заказчиком-исполнителем, управляющей компанией-зависимыми обществами и т.д.</w:t>
                        </w:r>
                        <w:r w:rsidRPr="005B2AEE">
                          <w:rPr>
                            <w:rFonts w:ascii="Verdana" w:eastAsia="Times New Roman" w:hAnsi="Verdana" w:cs="Times New Roman"/>
                            <w:color w:val="000000"/>
                            <w:sz w:val="20"/>
                            <w:szCs w:val="20"/>
                            <w:lang w:eastAsia="ru-RU"/>
                          </w:rPr>
                          <w:br/>
                          <w:t xml:space="preserve">Учет нематериальных активов (налоговый аспект): нормативно-правовые акты, определяющие порядок приема, постановки на учет, формирования первоначальной стоимости. Критерии отнесения интеллектуальной собственности к нематериальным активам. Особенности формирования первоначальной стоимости нематериальных активов для целей налогового учета. Переоценка НМА. Амортизация НМА и особенности их выбытия в налоговом учете. Разбор ситуаций, когда ставить ИС на учет – это выгодно, а в каких случаях – не выгодно и не стоит ли подождать, чтобы не платить налог на прибыль, когда ИС не используется. По какому счету проводить выплаты авторского вознаграждения за создание РИД? У кого на балансе должен стоять охранный документ на нематериальный актив, если у него два или более правообладателя юр. лиц, как должна проводиться его </w:t>
                        </w:r>
                        <w:proofErr w:type="gramStart"/>
                        <w:r w:rsidRPr="005B2AEE">
                          <w:rPr>
                            <w:rFonts w:ascii="Verdana" w:eastAsia="Times New Roman" w:hAnsi="Verdana" w:cs="Times New Roman"/>
                            <w:color w:val="000000"/>
                            <w:sz w:val="20"/>
                            <w:szCs w:val="20"/>
                            <w:lang w:eastAsia="ru-RU"/>
                          </w:rPr>
                          <w:t>амортизация?</w:t>
                        </w:r>
                        <w:r w:rsidRPr="005B2AEE">
                          <w:rPr>
                            <w:rFonts w:ascii="Verdana" w:eastAsia="Times New Roman" w:hAnsi="Verdana" w:cs="Times New Roman"/>
                            <w:color w:val="000000"/>
                            <w:sz w:val="20"/>
                            <w:szCs w:val="20"/>
                            <w:lang w:eastAsia="ru-RU"/>
                          </w:rPr>
                          <w:br/>
                          <w:t>Учет</w:t>
                        </w:r>
                        <w:proofErr w:type="gramEnd"/>
                        <w:r w:rsidRPr="005B2AEE">
                          <w:rPr>
                            <w:rFonts w:ascii="Verdana" w:eastAsia="Times New Roman" w:hAnsi="Verdana" w:cs="Times New Roman"/>
                            <w:color w:val="000000"/>
                            <w:sz w:val="20"/>
                            <w:szCs w:val="20"/>
                            <w:lang w:eastAsia="ru-RU"/>
                          </w:rPr>
                          <w:t xml:space="preserve"> нематериальных активов (бухгалтерский аспект): совершенствование законодательной и нормативно-правовой базы бухгалтерского учета в России. Проблемы применения МСФО в российской бухгалтерской практике, в том числе МСФО 38 "Нематериальные активы</w:t>
                        </w:r>
                        <w:proofErr w:type="gramStart"/>
                        <w:r w:rsidRPr="005B2AEE">
                          <w:rPr>
                            <w:rFonts w:ascii="Verdana" w:eastAsia="Times New Roman" w:hAnsi="Verdana" w:cs="Times New Roman"/>
                            <w:color w:val="000000"/>
                            <w:sz w:val="20"/>
                            <w:szCs w:val="20"/>
                            <w:lang w:eastAsia="ru-RU"/>
                          </w:rPr>
                          <w:t>".</w:t>
                        </w:r>
                        <w:r w:rsidRPr="005B2AEE">
                          <w:rPr>
                            <w:rFonts w:ascii="Verdana" w:eastAsia="Times New Roman" w:hAnsi="Verdana" w:cs="Times New Roman"/>
                            <w:color w:val="000000"/>
                            <w:sz w:val="20"/>
                            <w:szCs w:val="20"/>
                            <w:lang w:eastAsia="ru-RU"/>
                          </w:rPr>
                          <w:br/>
                        </w:r>
                        <w:r w:rsidRPr="005B2AEE">
                          <w:rPr>
                            <w:rFonts w:ascii="Verdana" w:eastAsia="Times New Roman" w:hAnsi="Verdana" w:cs="Times New Roman"/>
                            <w:b/>
                            <w:bCs/>
                            <w:i/>
                            <w:iCs/>
                            <w:color w:val="000000"/>
                            <w:sz w:val="18"/>
                            <w:szCs w:val="18"/>
                            <w:lang w:eastAsia="ru-RU"/>
                          </w:rPr>
                          <w:t>Белова</w:t>
                        </w:r>
                        <w:proofErr w:type="gramEnd"/>
                        <w:r w:rsidRPr="005B2AEE">
                          <w:rPr>
                            <w:rFonts w:ascii="Verdana" w:eastAsia="Times New Roman" w:hAnsi="Verdana" w:cs="Times New Roman"/>
                            <w:b/>
                            <w:bCs/>
                            <w:i/>
                            <w:iCs/>
                            <w:color w:val="000000"/>
                            <w:sz w:val="18"/>
                            <w:szCs w:val="18"/>
                            <w:lang w:eastAsia="ru-RU"/>
                          </w:rPr>
                          <w:t xml:space="preserve"> Е.В. </w:t>
                        </w:r>
                        <w:r w:rsidRPr="005B2AEE">
                          <w:rPr>
                            <w:rFonts w:ascii="Verdana" w:eastAsia="Times New Roman" w:hAnsi="Verdana" w:cs="Times New Roman"/>
                            <w:i/>
                            <w:iCs/>
                            <w:color w:val="000000"/>
                            <w:sz w:val="18"/>
                            <w:szCs w:val="18"/>
                            <w:lang w:eastAsia="ru-RU"/>
                          </w:rPr>
                          <w:t xml:space="preserve">– финансовый директор ООО «Ай Пи </w:t>
                        </w:r>
                        <w:proofErr w:type="spellStart"/>
                        <w:r w:rsidRPr="005B2AEE">
                          <w:rPr>
                            <w:rFonts w:ascii="Verdana" w:eastAsia="Times New Roman" w:hAnsi="Verdana" w:cs="Times New Roman"/>
                            <w:i/>
                            <w:iCs/>
                            <w:color w:val="000000"/>
                            <w:sz w:val="18"/>
                            <w:szCs w:val="18"/>
                            <w:lang w:eastAsia="ru-RU"/>
                          </w:rPr>
                          <w:t>эМ</w:t>
                        </w:r>
                        <w:proofErr w:type="spellEnd"/>
                        <w:r w:rsidRPr="005B2AEE">
                          <w:rPr>
                            <w:rFonts w:ascii="Verdana" w:eastAsia="Times New Roman" w:hAnsi="Verdana" w:cs="Times New Roman"/>
                            <w:i/>
                            <w:iCs/>
                            <w:color w:val="000000"/>
                            <w:sz w:val="18"/>
                            <w:szCs w:val="18"/>
                            <w:lang w:eastAsia="ru-RU"/>
                          </w:rPr>
                          <w:t xml:space="preserve"> Групп» (по согласованию). </w:t>
                        </w:r>
                      </w:p>
                    </w:tc>
                  </w:tr>
                  <w:tr w:rsidR="005B2AEE" w:rsidRPr="005B2AEE" w:rsidTr="00E85EA4">
                    <w:trPr>
                      <w:trHeight w:val="270"/>
                      <w:tblCellSpacing w:w="0" w:type="dxa"/>
                    </w:trPr>
                    <w:tc>
                      <w:tcPr>
                        <w:tcW w:w="10425" w:type="dxa"/>
                        <w:shd w:val="clear" w:color="auto" w:fill="C4C4C4"/>
                        <w:vAlign w:val="center"/>
                        <w:hideMark/>
                      </w:tcPr>
                      <w:p w:rsidR="005B2AEE" w:rsidRPr="005B2AEE" w:rsidRDefault="005B2AEE" w:rsidP="005B2AEE">
                        <w:pPr>
                          <w:spacing w:after="0" w:line="240" w:lineRule="auto"/>
                          <w:rPr>
                            <w:rFonts w:ascii="Times New Roman" w:eastAsia="Times New Roman" w:hAnsi="Times New Roman" w:cs="Times New Roman"/>
                            <w:sz w:val="24"/>
                            <w:szCs w:val="24"/>
                            <w:lang w:eastAsia="ru-RU"/>
                          </w:rPr>
                        </w:pPr>
                        <w:r w:rsidRPr="005B2AEE">
                          <w:rPr>
                            <w:rFonts w:ascii="Verdana" w:eastAsia="Times New Roman" w:hAnsi="Verdana" w:cs="Times New Roman"/>
                            <w:b/>
                            <w:bCs/>
                            <w:color w:val="000000"/>
                            <w:sz w:val="20"/>
                            <w:szCs w:val="20"/>
                            <w:lang w:eastAsia="ru-RU"/>
                          </w:rPr>
                          <w:t>11.30 – 11.45</w:t>
                        </w:r>
                      </w:p>
                    </w:tc>
                  </w:tr>
                  <w:tr w:rsidR="005B2AEE" w:rsidRPr="005B2AEE" w:rsidTr="00E85EA4">
                    <w:trPr>
                      <w:tblCellSpacing w:w="0" w:type="dxa"/>
                    </w:trPr>
                    <w:tc>
                      <w:tcPr>
                        <w:tcW w:w="10425" w:type="dxa"/>
                        <w:vAlign w:val="center"/>
                        <w:hideMark/>
                      </w:tcPr>
                      <w:tbl>
                        <w:tblPr>
                          <w:tblW w:w="10425" w:type="dxa"/>
                          <w:jc w:val="center"/>
                          <w:tblCellSpacing w:w="0" w:type="dxa"/>
                          <w:tblLayout w:type="fixed"/>
                          <w:tblCellMar>
                            <w:left w:w="0" w:type="dxa"/>
                            <w:right w:w="0" w:type="dxa"/>
                          </w:tblCellMar>
                          <w:tblLook w:val="04A0" w:firstRow="1" w:lastRow="0" w:firstColumn="1" w:lastColumn="0" w:noHBand="0" w:noVBand="1"/>
                        </w:tblPr>
                        <w:tblGrid>
                          <w:gridCol w:w="450"/>
                          <w:gridCol w:w="9975"/>
                        </w:tblGrid>
                        <w:tr w:rsidR="005B2AEE" w:rsidRPr="005B2AEE" w:rsidTr="00E85EA4">
                          <w:trPr>
                            <w:trHeight w:val="300"/>
                            <w:tblCellSpacing w:w="0" w:type="dxa"/>
                            <w:jc w:val="center"/>
                          </w:trPr>
                          <w:tc>
                            <w:tcPr>
                              <w:tcW w:w="450" w:type="dxa"/>
                              <w:vAlign w:val="center"/>
                              <w:hideMark/>
                            </w:tcPr>
                            <w:p w:rsidR="005B2AEE" w:rsidRPr="005B2AEE" w:rsidRDefault="005B2AEE" w:rsidP="005B2AEE">
                              <w:pPr>
                                <w:framePr w:hSpace="45" w:wrap="around" w:vAnchor="text" w:hAnchor="text"/>
                                <w:spacing w:after="0" w:line="240" w:lineRule="auto"/>
                                <w:jc w:val="center"/>
                                <w:rPr>
                                  <w:rFonts w:ascii="Times New Roman" w:eastAsia="Times New Roman" w:hAnsi="Times New Roman" w:cs="Times New Roman"/>
                                  <w:sz w:val="24"/>
                                  <w:szCs w:val="24"/>
                                  <w:lang w:eastAsia="ru-RU"/>
                                </w:rPr>
                              </w:pPr>
                              <w:r w:rsidRPr="005B2AEE">
                                <w:rPr>
                                  <w:rFonts w:ascii="Times New Roman" w:eastAsia="Times New Roman" w:hAnsi="Times New Roman" w:cs="Times New Roman"/>
                                  <w:noProof/>
                                  <w:sz w:val="24"/>
                                  <w:szCs w:val="24"/>
                                  <w:lang w:eastAsia="ru-RU"/>
                                </w:rPr>
                                <w:drawing>
                                  <wp:inline distT="0" distB="0" distL="0" distR="0">
                                    <wp:extent cx="257175" cy="190500"/>
                                    <wp:effectExtent l="0" t="0" r="9525" b="0"/>
                                    <wp:docPr id="3" name="Рисунок 3" descr="http://www.asergroup.ru/_design/design-002/t003/images/cap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ergroup.ru/_design/design-002/t003/images/cap1-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p>
                          </w:tc>
                          <w:tc>
                            <w:tcPr>
                              <w:tcW w:w="9975" w:type="dxa"/>
                              <w:vAlign w:val="center"/>
                              <w:hideMark/>
                            </w:tcPr>
                            <w:p w:rsidR="005B2AEE" w:rsidRPr="005B2AEE" w:rsidRDefault="005B2AEE" w:rsidP="005B2AEE">
                              <w:pPr>
                                <w:framePr w:hSpace="45" w:wrap="around" w:vAnchor="text" w:hAnchor="text"/>
                                <w:spacing w:after="0" w:line="240" w:lineRule="auto"/>
                                <w:rPr>
                                  <w:rFonts w:ascii="Verdana" w:eastAsia="Times New Roman" w:hAnsi="Verdana" w:cs="Times New Roman"/>
                                  <w:color w:val="000000"/>
                                  <w:sz w:val="20"/>
                                  <w:szCs w:val="20"/>
                                  <w:lang w:eastAsia="ru-RU"/>
                                </w:rPr>
                              </w:pPr>
                              <w:r w:rsidRPr="005B2AEE">
                                <w:rPr>
                                  <w:rFonts w:ascii="Verdana" w:eastAsia="Times New Roman" w:hAnsi="Verdana" w:cs="Times New Roman"/>
                                  <w:color w:val="000000"/>
                                  <w:sz w:val="20"/>
                                  <w:szCs w:val="20"/>
                                  <w:lang w:eastAsia="ru-RU"/>
                                </w:rPr>
                                <w:t>Кофе-пауза</w:t>
                              </w:r>
                            </w:p>
                          </w:tc>
                        </w:tr>
                      </w:tbl>
                      <w:p w:rsidR="005B2AEE" w:rsidRPr="005B2AEE" w:rsidRDefault="005B2AEE" w:rsidP="005B2AEE">
                        <w:pPr>
                          <w:spacing w:after="0" w:line="240" w:lineRule="auto"/>
                          <w:rPr>
                            <w:rFonts w:ascii="Times New Roman" w:eastAsia="Times New Roman" w:hAnsi="Times New Roman" w:cs="Times New Roman"/>
                            <w:sz w:val="24"/>
                            <w:szCs w:val="24"/>
                            <w:lang w:eastAsia="ru-RU"/>
                          </w:rPr>
                        </w:pPr>
                      </w:p>
                    </w:tc>
                  </w:tr>
                  <w:tr w:rsidR="005B2AEE" w:rsidRPr="005B2AEE" w:rsidTr="00E85EA4">
                    <w:trPr>
                      <w:trHeight w:val="270"/>
                      <w:tblCellSpacing w:w="0" w:type="dxa"/>
                    </w:trPr>
                    <w:tc>
                      <w:tcPr>
                        <w:tcW w:w="10425" w:type="dxa"/>
                        <w:shd w:val="clear" w:color="auto" w:fill="C4C4C4"/>
                        <w:vAlign w:val="center"/>
                        <w:hideMark/>
                      </w:tcPr>
                      <w:p w:rsidR="005B2AEE" w:rsidRPr="005B2AEE" w:rsidRDefault="005B2AEE" w:rsidP="005B2AEE">
                        <w:pPr>
                          <w:spacing w:after="0" w:line="240" w:lineRule="auto"/>
                          <w:rPr>
                            <w:rFonts w:ascii="Times New Roman" w:eastAsia="Times New Roman" w:hAnsi="Times New Roman" w:cs="Times New Roman"/>
                            <w:sz w:val="24"/>
                            <w:szCs w:val="24"/>
                            <w:lang w:eastAsia="ru-RU"/>
                          </w:rPr>
                        </w:pPr>
                        <w:r w:rsidRPr="005B2AEE">
                          <w:rPr>
                            <w:rFonts w:ascii="Verdana" w:eastAsia="Times New Roman" w:hAnsi="Verdana" w:cs="Times New Roman"/>
                            <w:b/>
                            <w:bCs/>
                            <w:color w:val="000000"/>
                            <w:sz w:val="20"/>
                            <w:szCs w:val="20"/>
                            <w:lang w:eastAsia="ru-RU"/>
                          </w:rPr>
                          <w:t>11.45 – 13.15</w:t>
                        </w:r>
                      </w:p>
                    </w:tc>
                  </w:tr>
                  <w:tr w:rsidR="005B2AEE" w:rsidRPr="005B2AEE" w:rsidTr="00E85EA4">
                    <w:trPr>
                      <w:tblCellSpacing w:w="0" w:type="dxa"/>
                    </w:trPr>
                    <w:tc>
                      <w:tcPr>
                        <w:tcW w:w="10425" w:type="dxa"/>
                        <w:vAlign w:val="center"/>
                        <w:hideMark/>
                      </w:tcPr>
                      <w:p w:rsidR="005B2AEE" w:rsidRPr="005B2AEE" w:rsidRDefault="005B2AEE" w:rsidP="005B2AEE">
                        <w:pPr>
                          <w:spacing w:after="0" w:line="240" w:lineRule="auto"/>
                          <w:rPr>
                            <w:rFonts w:ascii="Verdana" w:eastAsia="Times New Roman" w:hAnsi="Verdana" w:cs="Times New Roman"/>
                            <w:color w:val="000000"/>
                            <w:sz w:val="20"/>
                            <w:szCs w:val="20"/>
                            <w:lang w:eastAsia="ru-RU"/>
                          </w:rPr>
                        </w:pPr>
                        <w:r w:rsidRPr="005B2AEE">
                          <w:rPr>
                            <w:rFonts w:ascii="Verdana" w:eastAsia="Times New Roman" w:hAnsi="Verdana" w:cs="Times New Roman"/>
                            <w:b/>
                            <w:bCs/>
                            <w:color w:val="000000"/>
                            <w:sz w:val="20"/>
                            <w:szCs w:val="20"/>
                            <w:lang w:eastAsia="ru-RU"/>
                          </w:rPr>
                          <w:lastRenderedPageBreak/>
                          <w:t>Все о служебных изобретениях от создания до коммерциализации и выплаты вознаграждений. Судебные споры с авторами.</w:t>
                        </w:r>
                        <w:r w:rsidRPr="005B2AEE">
                          <w:rPr>
                            <w:rFonts w:ascii="Verdana" w:eastAsia="Times New Roman" w:hAnsi="Verdana" w:cs="Times New Roman"/>
                            <w:color w:val="000000"/>
                            <w:sz w:val="20"/>
                            <w:szCs w:val="20"/>
                            <w:lang w:eastAsia="ru-RU"/>
                          </w:rPr>
                          <w:br/>
                          <w:t xml:space="preserve">Стимулирование инновационной деятельности на предприятии. Создание и использование служебных изобретений: правовое регулирование отношений, что изменилось в законодательстве и что это означает для работодателя. Переход права на служебные произведения и изобретения. Распределение прав. Что делать в ситуации, если работодатель не заключил договор с работником </w:t>
                        </w:r>
                        <w:proofErr w:type="gramStart"/>
                        <w:r w:rsidRPr="005B2AEE">
                          <w:rPr>
                            <w:rFonts w:ascii="Verdana" w:eastAsia="Times New Roman" w:hAnsi="Verdana" w:cs="Times New Roman"/>
                            <w:color w:val="000000"/>
                            <w:sz w:val="20"/>
                            <w:szCs w:val="20"/>
                            <w:lang w:eastAsia="ru-RU"/>
                          </w:rPr>
                          <w:t>на служебные РИД</w:t>
                        </w:r>
                        <w:proofErr w:type="gramEnd"/>
                        <w:r w:rsidRPr="005B2AEE">
                          <w:rPr>
                            <w:rFonts w:ascii="Verdana" w:eastAsia="Times New Roman" w:hAnsi="Verdana" w:cs="Times New Roman"/>
                            <w:color w:val="000000"/>
                            <w:sz w:val="20"/>
                            <w:szCs w:val="20"/>
                            <w:lang w:eastAsia="ru-RU"/>
                          </w:rPr>
                          <w:t>.</w:t>
                        </w:r>
                        <w:r w:rsidRPr="005B2AEE">
                          <w:rPr>
                            <w:rFonts w:ascii="Verdana" w:eastAsia="Times New Roman" w:hAnsi="Verdana" w:cs="Times New Roman"/>
                            <w:color w:val="000000"/>
                            <w:sz w:val="20"/>
                            <w:szCs w:val="20"/>
                            <w:lang w:eastAsia="ru-RU"/>
                          </w:rPr>
                          <w:br/>
                          <w:t>Риски работодателя, связанные с использованием программного продукта, написанного программистами предприятия. </w:t>
                        </w:r>
                        <w:r w:rsidRPr="005B2AEE">
                          <w:rPr>
                            <w:rFonts w:ascii="Verdana" w:eastAsia="Times New Roman" w:hAnsi="Verdana" w:cs="Times New Roman"/>
                            <w:color w:val="000000"/>
                            <w:sz w:val="20"/>
                            <w:szCs w:val="20"/>
                            <w:lang w:eastAsia="ru-RU"/>
                          </w:rPr>
                          <w:br/>
                          <w:t>Авторское вознаграждение: стадия подписания договора; споры с работниками по вознаграждениям; практика по защите прав работодателя в суде по искам о вознаграждениях. Срок действия исключительного права на произведение. Вопросы коллективного управления авторскими правами.</w:t>
                        </w:r>
                        <w:r w:rsidRPr="005B2AEE">
                          <w:rPr>
                            <w:rFonts w:ascii="Verdana" w:eastAsia="Times New Roman" w:hAnsi="Verdana" w:cs="Times New Roman"/>
                            <w:color w:val="000000"/>
                            <w:sz w:val="20"/>
                            <w:szCs w:val="20"/>
                            <w:lang w:eastAsia="ru-RU"/>
                          </w:rPr>
                          <w:br/>
                          <w:t>Некоторые вопросы защиты исключительных прав и изменение механизма распоряжения исключительным правом на РИД и средства индивидуализации.</w:t>
                        </w:r>
                        <w:r w:rsidRPr="005B2AEE">
                          <w:rPr>
                            <w:rFonts w:ascii="Verdana" w:eastAsia="Times New Roman" w:hAnsi="Verdana" w:cs="Times New Roman"/>
                            <w:color w:val="000000"/>
                            <w:sz w:val="20"/>
                            <w:szCs w:val="20"/>
                            <w:lang w:eastAsia="ru-RU"/>
                          </w:rPr>
                          <w:br/>
                          <w:t>Новации в 2016г. в части проблем взыскания убытков в патентных спорах. Практические вопросы, связанные с выплатами платежей правообладателям и новая норма, позволяющая привлекать к ответственности за нарушения.</w:t>
                        </w:r>
                        <w:r w:rsidRPr="005B2AEE">
                          <w:rPr>
                            <w:rFonts w:ascii="Verdana" w:eastAsia="Times New Roman" w:hAnsi="Verdana" w:cs="Times New Roman"/>
                            <w:color w:val="000000"/>
                            <w:sz w:val="20"/>
                            <w:szCs w:val="20"/>
                            <w:lang w:eastAsia="ru-RU"/>
                          </w:rPr>
                          <w:br/>
                          <w:t>Некоторые вопросы коммерциализации РИД.</w:t>
                        </w:r>
                        <w:r w:rsidRPr="005B2AEE">
                          <w:rPr>
                            <w:rFonts w:ascii="Verdana" w:eastAsia="Times New Roman" w:hAnsi="Verdana" w:cs="Times New Roman"/>
                            <w:color w:val="000000"/>
                            <w:sz w:val="20"/>
                            <w:szCs w:val="20"/>
                            <w:lang w:eastAsia="ru-RU"/>
                          </w:rPr>
                          <w:br/>
                        </w:r>
                        <w:r w:rsidRPr="005B2AEE">
                          <w:rPr>
                            <w:rFonts w:ascii="Verdana" w:eastAsia="Times New Roman" w:hAnsi="Verdana" w:cs="Times New Roman"/>
                            <w:b/>
                            <w:bCs/>
                            <w:color w:val="000000"/>
                            <w:sz w:val="20"/>
                            <w:szCs w:val="20"/>
                            <w:lang w:eastAsia="ru-RU"/>
                          </w:rPr>
                          <w:t>Новеллы законодательства в части условий охраны промышленных образцов.</w:t>
                        </w:r>
                        <w:r w:rsidRPr="005B2AEE">
                          <w:rPr>
                            <w:rFonts w:ascii="Verdana" w:eastAsia="Times New Roman" w:hAnsi="Verdana" w:cs="Times New Roman"/>
                            <w:color w:val="000000"/>
                            <w:sz w:val="20"/>
                            <w:szCs w:val="20"/>
                            <w:lang w:eastAsia="ru-RU"/>
                          </w:rPr>
                          <w:br/>
                          <w:t>Новеллы в правовой охране промышленных образцов в новой редакции 4 ч. ГК РФ.</w:t>
                        </w:r>
                        <w:r w:rsidRPr="005B2AEE">
                          <w:rPr>
                            <w:rFonts w:ascii="Verdana" w:eastAsia="Times New Roman" w:hAnsi="Verdana" w:cs="Times New Roman"/>
                            <w:color w:val="000000"/>
                            <w:sz w:val="20"/>
                            <w:szCs w:val="20"/>
                            <w:lang w:eastAsia="ru-RU"/>
                          </w:rPr>
                          <w:br/>
                        </w:r>
                        <w:proofErr w:type="spellStart"/>
                        <w:r w:rsidRPr="005B2AEE">
                          <w:rPr>
                            <w:rFonts w:ascii="Verdana" w:eastAsia="Times New Roman" w:hAnsi="Verdana" w:cs="Times New Roman"/>
                            <w:b/>
                            <w:bCs/>
                            <w:i/>
                            <w:iCs/>
                            <w:color w:val="000000"/>
                            <w:sz w:val="18"/>
                            <w:szCs w:val="18"/>
                            <w:lang w:eastAsia="ru-RU"/>
                          </w:rPr>
                          <w:t>Авакян</w:t>
                        </w:r>
                        <w:proofErr w:type="spellEnd"/>
                        <w:r w:rsidRPr="005B2AEE">
                          <w:rPr>
                            <w:rFonts w:ascii="Verdana" w:eastAsia="Times New Roman" w:hAnsi="Verdana" w:cs="Times New Roman"/>
                            <w:b/>
                            <w:bCs/>
                            <w:i/>
                            <w:iCs/>
                            <w:color w:val="000000"/>
                            <w:sz w:val="18"/>
                            <w:szCs w:val="18"/>
                            <w:lang w:eastAsia="ru-RU"/>
                          </w:rPr>
                          <w:t xml:space="preserve"> Е.Г.</w:t>
                        </w:r>
                        <w:r w:rsidRPr="005B2AEE">
                          <w:rPr>
                            <w:rFonts w:ascii="Verdana" w:eastAsia="Times New Roman" w:hAnsi="Verdana" w:cs="Times New Roman"/>
                            <w:i/>
                            <w:iCs/>
                            <w:color w:val="000000"/>
                            <w:sz w:val="18"/>
                            <w:szCs w:val="18"/>
                            <w:lang w:eastAsia="ru-RU"/>
                          </w:rPr>
                          <w:t xml:space="preserve"> – исполнительный Директор Некоммерческого Партнерства «Содействие Развитию Корпоративного Законодательства», советник адвокатского бюро «Егоров, </w:t>
                        </w:r>
                        <w:proofErr w:type="spellStart"/>
                        <w:r w:rsidRPr="005B2AEE">
                          <w:rPr>
                            <w:rFonts w:ascii="Verdana" w:eastAsia="Times New Roman" w:hAnsi="Verdana" w:cs="Times New Roman"/>
                            <w:i/>
                            <w:iCs/>
                            <w:color w:val="000000"/>
                            <w:sz w:val="18"/>
                            <w:szCs w:val="18"/>
                            <w:lang w:eastAsia="ru-RU"/>
                          </w:rPr>
                          <w:t>Пугинский</w:t>
                        </w:r>
                        <w:proofErr w:type="spellEnd"/>
                        <w:r w:rsidRPr="005B2AEE">
                          <w:rPr>
                            <w:rFonts w:ascii="Verdana" w:eastAsia="Times New Roman" w:hAnsi="Verdana" w:cs="Times New Roman"/>
                            <w:i/>
                            <w:iCs/>
                            <w:color w:val="000000"/>
                            <w:sz w:val="18"/>
                            <w:szCs w:val="18"/>
                            <w:lang w:eastAsia="ru-RU"/>
                          </w:rPr>
                          <w:t>, Афанасьев и партнеры», действительный государственный советник юстиции 2 класса (по согласованию).</w:t>
                        </w:r>
                      </w:p>
                    </w:tc>
                  </w:tr>
                  <w:tr w:rsidR="005B2AEE" w:rsidRPr="005B2AEE" w:rsidTr="00E85EA4">
                    <w:trPr>
                      <w:trHeight w:val="270"/>
                      <w:tblCellSpacing w:w="0" w:type="dxa"/>
                    </w:trPr>
                    <w:tc>
                      <w:tcPr>
                        <w:tcW w:w="10425" w:type="dxa"/>
                        <w:shd w:val="clear" w:color="auto" w:fill="C4C4C4"/>
                        <w:vAlign w:val="center"/>
                        <w:hideMark/>
                      </w:tcPr>
                      <w:p w:rsidR="005B2AEE" w:rsidRPr="005B2AEE" w:rsidRDefault="005B2AEE" w:rsidP="005B2AEE">
                        <w:pPr>
                          <w:spacing w:after="0" w:line="240" w:lineRule="auto"/>
                          <w:rPr>
                            <w:rFonts w:ascii="Times New Roman" w:eastAsia="Times New Roman" w:hAnsi="Times New Roman" w:cs="Times New Roman"/>
                            <w:sz w:val="24"/>
                            <w:szCs w:val="24"/>
                            <w:lang w:eastAsia="ru-RU"/>
                          </w:rPr>
                        </w:pPr>
                        <w:r w:rsidRPr="005B2AEE">
                          <w:rPr>
                            <w:rFonts w:ascii="Verdana" w:eastAsia="Times New Roman" w:hAnsi="Verdana" w:cs="Times New Roman"/>
                            <w:b/>
                            <w:bCs/>
                            <w:color w:val="000000"/>
                            <w:sz w:val="20"/>
                            <w:szCs w:val="20"/>
                            <w:lang w:eastAsia="ru-RU"/>
                          </w:rPr>
                          <w:t>13.15 – 14.00</w:t>
                        </w:r>
                      </w:p>
                    </w:tc>
                  </w:tr>
                  <w:tr w:rsidR="005B2AEE" w:rsidRPr="005B2AEE" w:rsidTr="00E85EA4">
                    <w:trPr>
                      <w:tblCellSpacing w:w="0" w:type="dxa"/>
                    </w:trPr>
                    <w:tc>
                      <w:tcPr>
                        <w:tcW w:w="10425" w:type="dxa"/>
                        <w:vAlign w:val="center"/>
                        <w:hideMark/>
                      </w:tcPr>
                      <w:tbl>
                        <w:tblPr>
                          <w:tblW w:w="10425" w:type="dxa"/>
                          <w:jc w:val="center"/>
                          <w:tblCellSpacing w:w="0" w:type="dxa"/>
                          <w:tblLayout w:type="fixed"/>
                          <w:tblCellMar>
                            <w:left w:w="0" w:type="dxa"/>
                            <w:right w:w="0" w:type="dxa"/>
                          </w:tblCellMar>
                          <w:tblLook w:val="04A0" w:firstRow="1" w:lastRow="0" w:firstColumn="1" w:lastColumn="0" w:noHBand="0" w:noVBand="1"/>
                        </w:tblPr>
                        <w:tblGrid>
                          <w:gridCol w:w="450"/>
                          <w:gridCol w:w="9975"/>
                        </w:tblGrid>
                        <w:tr w:rsidR="005B2AEE" w:rsidRPr="005B2AEE" w:rsidTr="00E85EA4">
                          <w:trPr>
                            <w:trHeight w:val="300"/>
                            <w:tblCellSpacing w:w="0" w:type="dxa"/>
                            <w:jc w:val="center"/>
                          </w:trPr>
                          <w:tc>
                            <w:tcPr>
                              <w:tcW w:w="450" w:type="dxa"/>
                              <w:vAlign w:val="center"/>
                              <w:hideMark/>
                            </w:tcPr>
                            <w:p w:rsidR="005B2AEE" w:rsidRPr="005B2AEE" w:rsidRDefault="005B2AEE" w:rsidP="005B2AEE">
                              <w:pPr>
                                <w:framePr w:hSpace="45" w:wrap="around" w:vAnchor="text" w:hAnchor="text"/>
                                <w:spacing w:after="0" w:line="240" w:lineRule="auto"/>
                                <w:jc w:val="center"/>
                                <w:rPr>
                                  <w:rFonts w:ascii="Times New Roman" w:eastAsia="Times New Roman" w:hAnsi="Times New Roman" w:cs="Times New Roman"/>
                                  <w:sz w:val="24"/>
                                  <w:szCs w:val="24"/>
                                  <w:lang w:eastAsia="ru-RU"/>
                                </w:rPr>
                              </w:pPr>
                              <w:r w:rsidRPr="005B2AEE">
                                <w:rPr>
                                  <w:rFonts w:ascii="Times New Roman" w:eastAsia="Times New Roman" w:hAnsi="Times New Roman" w:cs="Times New Roman"/>
                                  <w:noProof/>
                                  <w:sz w:val="24"/>
                                  <w:szCs w:val="24"/>
                                  <w:lang w:eastAsia="ru-RU"/>
                                </w:rPr>
                                <w:drawing>
                                  <wp:inline distT="0" distB="0" distL="0" distR="0">
                                    <wp:extent cx="257175" cy="190500"/>
                                    <wp:effectExtent l="0" t="0" r="9525" b="0"/>
                                    <wp:docPr id="2" name="Рисунок 2" descr="http://www.asergroup.ru/_design/design-002/t003/images/cap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ergroup.ru/_design/design-002/t003/images/cap1-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p>
                          </w:tc>
                          <w:tc>
                            <w:tcPr>
                              <w:tcW w:w="9975" w:type="dxa"/>
                              <w:vAlign w:val="center"/>
                              <w:hideMark/>
                            </w:tcPr>
                            <w:p w:rsidR="005B2AEE" w:rsidRPr="005B2AEE" w:rsidRDefault="005B2AEE" w:rsidP="005B2AEE">
                              <w:pPr>
                                <w:framePr w:hSpace="45" w:wrap="around" w:vAnchor="text" w:hAnchor="text"/>
                                <w:spacing w:after="0" w:line="240" w:lineRule="auto"/>
                                <w:rPr>
                                  <w:rFonts w:ascii="Verdana" w:eastAsia="Times New Roman" w:hAnsi="Verdana" w:cs="Times New Roman"/>
                                  <w:color w:val="000000"/>
                                  <w:sz w:val="20"/>
                                  <w:szCs w:val="20"/>
                                  <w:lang w:eastAsia="ru-RU"/>
                                </w:rPr>
                              </w:pPr>
                              <w:r w:rsidRPr="005B2AEE">
                                <w:rPr>
                                  <w:rFonts w:ascii="Verdana" w:eastAsia="Times New Roman" w:hAnsi="Verdana" w:cs="Times New Roman"/>
                                  <w:color w:val="000000"/>
                                  <w:sz w:val="20"/>
                                  <w:szCs w:val="20"/>
                                  <w:lang w:eastAsia="ru-RU"/>
                                </w:rPr>
                                <w:t>Обед</w:t>
                              </w:r>
                            </w:p>
                          </w:tc>
                        </w:tr>
                      </w:tbl>
                      <w:p w:rsidR="005B2AEE" w:rsidRPr="005B2AEE" w:rsidRDefault="005B2AEE" w:rsidP="005B2AEE">
                        <w:pPr>
                          <w:spacing w:after="0" w:line="240" w:lineRule="auto"/>
                          <w:rPr>
                            <w:rFonts w:ascii="Times New Roman" w:eastAsia="Times New Roman" w:hAnsi="Times New Roman" w:cs="Times New Roman"/>
                            <w:sz w:val="24"/>
                            <w:szCs w:val="24"/>
                            <w:lang w:eastAsia="ru-RU"/>
                          </w:rPr>
                        </w:pPr>
                      </w:p>
                    </w:tc>
                  </w:tr>
                  <w:tr w:rsidR="005B2AEE" w:rsidRPr="005B2AEE" w:rsidTr="00E85EA4">
                    <w:trPr>
                      <w:trHeight w:val="270"/>
                      <w:tblCellSpacing w:w="0" w:type="dxa"/>
                    </w:trPr>
                    <w:tc>
                      <w:tcPr>
                        <w:tcW w:w="10425" w:type="dxa"/>
                        <w:shd w:val="clear" w:color="auto" w:fill="C4C4C4"/>
                        <w:vAlign w:val="center"/>
                        <w:hideMark/>
                      </w:tcPr>
                      <w:p w:rsidR="005B2AEE" w:rsidRPr="005B2AEE" w:rsidRDefault="005B2AEE" w:rsidP="005B2AEE">
                        <w:pPr>
                          <w:spacing w:after="0" w:line="240" w:lineRule="auto"/>
                          <w:rPr>
                            <w:rFonts w:ascii="Times New Roman" w:eastAsia="Times New Roman" w:hAnsi="Times New Roman" w:cs="Times New Roman"/>
                            <w:sz w:val="24"/>
                            <w:szCs w:val="24"/>
                            <w:lang w:eastAsia="ru-RU"/>
                          </w:rPr>
                        </w:pPr>
                        <w:r w:rsidRPr="005B2AEE">
                          <w:rPr>
                            <w:rFonts w:ascii="Verdana" w:eastAsia="Times New Roman" w:hAnsi="Verdana" w:cs="Times New Roman"/>
                            <w:b/>
                            <w:bCs/>
                            <w:color w:val="000000"/>
                            <w:sz w:val="20"/>
                            <w:szCs w:val="20"/>
                            <w:lang w:eastAsia="ru-RU"/>
                          </w:rPr>
                          <w:t>14.00 – 15.00</w:t>
                        </w:r>
                      </w:p>
                    </w:tc>
                  </w:tr>
                  <w:tr w:rsidR="005B2AEE" w:rsidRPr="005B2AEE" w:rsidTr="00E85EA4">
                    <w:trPr>
                      <w:tblCellSpacing w:w="0" w:type="dxa"/>
                    </w:trPr>
                    <w:tc>
                      <w:tcPr>
                        <w:tcW w:w="10425" w:type="dxa"/>
                        <w:vAlign w:val="center"/>
                        <w:hideMark/>
                      </w:tcPr>
                      <w:p w:rsidR="005B2AEE" w:rsidRPr="005B2AEE" w:rsidRDefault="005B2AEE" w:rsidP="005B2AEE">
                        <w:pPr>
                          <w:spacing w:after="0" w:line="240" w:lineRule="auto"/>
                          <w:rPr>
                            <w:rFonts w:ascii="Verdana" w:eastAsia="Times New Roman" w:hAnsi="Verdana" w:cs="Times New Roman"/>
                            <w:color w:val="000000"/>
                            <w:sz w:val="20"/>
                            <w:szCs w:val="20"/>
                            <w:lang w:eastAsia="ru-RU"/>
                          </w:rPr>
                        </w:pPr>
                        <w:r w:rsidRPr="005B2AEE">
                          <w:rPr>
                            <w:rFonts w:ascii="Verdana" w:eastAsia="Times New Roman" w:hAnsi="Verdana" w:cs="Times New Roman"/>
                            <w:b/>
                            <w:bCs/>
                            <w:color w:val="000000"/>
                            <w:sz w:val="20"/>
                            <w:szCs w:val="20"/>
                            <w:lang w:eastAsia="ru-RU"/>
                          </w:rPr>
                          <w:t>Оценка ИС в целях бухгалтерского учета, внесения в уставный капитал, отчуждения прав, заключения лицензионного договора, при определении ущерба.</w:t>
                        </w:r>
                        <w:r w:rsidRPr="005B2AEE">
                          <w:rPr>
                            <w:rFonts w:ascii="Verdana" w:eastAsia="Times New Roman" w:hAnsi="Verdana" w:cs="Times New Roman"/>
                            <w:color w:val="000000"/>
                            <w:sz w:val="20"/>
                            <w:szCs w:val="20"/>
                            <w:lang w:eastAsia="ru-RU"/>
                          </w:rPr>
                          <w:br/>
                          <w:t>Нормативное регулирование и практические рекомендации в части оценки ИС и НМА. Оценка товарного знака, ноу-хау, патентов. Разбор сложных ситуаций: оценка ИС для внесения стоимости вклада в уставной капитал предприятия, для уступки прав и выдаче лицензий, для определения стоимости лицензий, оценка ИС перед приватизацией или продажей бизнеса, оценка для определения размера ущерба от нарушения исключительных прав, для определения размеров авторского вознаграждения, оценка для постановки НМА на баланс, оценка для оптимизации выплат налога на имущество. Вопросы заключения лицензионного договора. Патентная и беспатентная лицензия и выбор платежей, роялти и прочие выплаты за использование интеллектуальной собственности. Выплаты вознаграждения за использование интеллектуальной собственности: нормативное регулирование, практика. Вопросы расчета авторского вознаграждения для разработчиков научно-технической продукции. Определение потенциальной коммерческой привлекательности прав на РНТД и рекомендуемой ставки роялти.</w:t>
                        </w:r>
                        <w:r w:rsidRPr="005B2AEE">
                          <w:rPr>
                            <w:rFonts w:ascii="Verdana" w:eastAsia="Times New Roman" w:hAnsi="Verdana" w:cs="Times New Roman"/>
                            <w:color w:val="000000"/>
                            <w:sz w:val="20"/>
                            <w:szCs w:val="20"/>
                            <w:lang w:eastAsia="ru-RU"/>
                          </w:rPr>
                          <w:br/>
                        </w:r>
                        <w:proofErr w:type="spellStart"/>
                        <w:r w:rsidRPr="005B2AEE">
                          <w:rPr>
                            <w:rFonts w:ascii="Verdana" w:eastAsia="Times New Roman" w:hAnsi="Verdana" w:cs="Times New Roman"/>
                            <w:b/>
                            <w:bCs/>
                            <w:i/>
                            <w:iCs/>
                            <w:color w:val="000000"/>
                            <w:sz w:val="18"/>
                            <w:szCs w:val="18"/>
                            <w:lang w:eastAsia="ru-RU"/>
                          </w:rPr>
                          <w:t>Мамаджанов</w:t>
                        </w:r>
                        <w:proofErr w:type="spellEnd"/>
                        <w:r w:rsidRPr="005B2AEE">
                          <w:rPr>
                            <w:rFonts w:ascii="Verdana" w:eastAsia="Times New Roman" w:hAnsi="Verdana" w:cs="Times New Roman"/>
                            <w:b/>
                            <w:bCs/>
                            <w:i/>
                            <w:iCs/>
                            <w:color w:val="000000"/>
                            <w:sz w:val="18"/>
                            <w:szCs w:val="18"/>
                            <w:lang w:eastAsia="ru-RU"/>
                          </w:rPr>
                          <w:t xml:space="preserve"> Х.А. </w:t>
                        </w:r>
                        <w:r w:rsidRPr="005B2AEE">
                          <w:rPr>
                            <w:rFonts w:ascii="Verdana" w:eastAsia="Times New Roman" w:hAnsi="Verdana" w:cs="Times New Roman"/>
                            <w:i/>
                            <w:iCs/>
                            <w:color w:val="000000"/>
                            <w:sz w:val="18"/>
                            <w:szCs w:val="18"/>
                            <w:lang w:eastAsia="ru-RU"/>
                          </w:rPr>
                          <w:t>– д.т.н., главный научный сотрудник ЗАО «Федеральный институт сертификации и оценки интеллектуальной собственности и бизнеса» (по согласованию).</w:t>
                        </w:r>
                      </w:p>
                    </w:tc>
                  </w:tr>
                  <w:tr w:rsidR="005B2AEE" w:rsidRPr="005B2AEE" w:rsidTr="00E85EA4">
                    <w:trPr>
                      <w:trHeight w:val="270"/>
                      <w:tblCellSpacing w:w="0" w:type="dxa"/>
                    </w:trPr>
                    <w:tc>
                      <w:tcPr>
                        <w:tcW w:w="10425" w:type="dxa"/>
                        <w:shd w:val="clear" w:color="auto" w:fill="C4C4C4"/>
                        <w:vAlign w:val="center"/>
                        <w:hideMark/>
                      </w:tcPr>
                      <w:p w:rsidR="005B2AEE" w:rsidRPr="005B2AEE" w:rsidRDefault="005B2AEE" w:rsidP="005B2AEE">
                        <w:pPr>
                          <w:spacing w:after="0" w:line="240" w:lineRule="auto"/>
                          <w:rPr>
                            <w:rFonts w:ascii="Times New Roman" w:eastAsia="Times New Roman" w:hAnsi="Times New Roman" w:cs="Times New Roman"/>
                            <w:sz w:val="24"/>
                            <w:szCs w:val="24"/>
                            <w:lang w:eastAsia="ru-RU"/>
                          </w:rPr>
                        </w:pPr>
                        <w:r w:rsidRPr="005B2AEE">
                          <w:rPr>
                            <w:rFonts w:ascii="Verdana" w:eastAsia="Times New Roman" w:hAnsi="Verdana" w:cs="Times New Roman"/>
                            <w:b/>
                            <w:bCs/>
                            <w:color w:val="000000"/>
                            <w:sz w:val="20"/>
                            <w:szCs w:val="20"/>
                            <w:lang w:eastAsia="ru-RU"/>
                          </w:rPr>
                          <w:t>15.00 – 16.30</w:t>
                        </w:r>
                      </w:p>
                    </w:tc>
                  </w:tr>
                  <w:tr w:rsidR="005B2AEE" w:rsidRPr="005B2AEE" w:rsidTr="00E85EA4">
                    <w:trPr>
                      <w:tblCellSpacing w:w="0" w:type="dxa"/>
                    </w:trPr>
                    <w:tc>
                      <w:tcPr>
                        <w:tcW w:w="10425" w:type="dxa"/>
                        <w:vAlign w:val="center"/>
                        <w:hideMark/>
                      </w:tcPr>
                      <w:p w:rsidR="005B2AEE" w:rsidRPr="005B2AEE" w:rsidRDefault="005B2AEE" w:rsidP="005B2AEE">
                        <w:pPr>
                          <w:spacing w:after="0" w:line="240" w:lineRule="auto"/>
                          <w:rPr>
                            <w:rFonts w:ascii="Verdana" w:eastAsia="Times New Roman" w:hAnsi="Verdana" w:cs="Times New Roman"/>
                            <w:color w:val="000000"/>
                            <w:sz w:val="20"/>
                            <w:szCs w:val="20"/>
                            <w:lang w:eastAsia="ru-RU"/>
                          </w:rPr>
                        </w:pPr>
                        <w:r w:rsidRPr="005B2AEE">
                          <w:rPr>
                            <w:rFonts w:ascii="Verdana" w:eastAsia="Times New Roman" w:hAnsi="Verdana" w:cs="Times New Roman"/>
                            <w:b/>
                            <w:bCs/>
                            <w:color w:val="000000"/>
                            <w:sz w:val="20"/>
                            <w:szCs w:val="20"/>
                            <w:lang w:eastAsia="ru-RU"/>
                          </w:rPr>
                          <w:t>Практика рассмотрения возражений в Суде по интеллектуальным правам и некоторые вопросы защиты нарушенных прав в Палате по патентным спорам (ППС</w:t>
                        </w:r>
                        <w:proofErr w:type="gramStart"/>
                        <w:r w:rsidRPr="005B2AEE">
                          <w:rPr>
                            <w:rFonts w:ascii="Verdana" w:eastAsia="Times New Roman" w:hAnsi="Verdana" w:cs="Times New Roman"/>
                            <w:b/>
                            <w:bCs/>
                            <w:color w:val="000000"/>
                            <w:sz w:val="20"/>
                            <w:szCs w:val="20"/>
                            <w:lang w:eastAsia="ru-RU"/>
                          </w:rPr>
                          <w:t>).</w:t>
                        </w:r>
                        <w:r w:rsidRPr="005B2AEE">
                          <w:rPr>
                            <w:rFonts w:ascii="Verdana" w:eastAsia="Times New Roman" w:hAnsi="Verdana" w:cs="Times New Roman"/>
                            <w:color w:val="000000"/>
                            <w:sz w:val="20"/>
                            <w:szCs w:val="20"/>
                            <w:lang w:eastAsia="ru-RU"/>
                          </w:rPr>
                          <w:br/>
                          <w:t>Вопросы</w:t>
                        </w:r>
                        <w:proofErr w:type="gramEnd"/>
                        <w:r w:rsidRPr="005B2AEE">
                          <w:rPr>
                            <w:rFonts w:ascii="Verdana" w:eastAsia="Times New Roman" w:hAnsi="Verdana" w:cs="Times New Roman"/>
                            <w:color w:val="000000"/>
                            <w:sz w:val="20"/>
                            <w:szCs w:val="20"/>
                            <w:lang w:eastAsia="ru-RU"/>
                          </w:rPr>
                          <w:t xml:space="preserve"> ответственности юридических лиц и индивидуальных предпринимателей за нарушения исключительных прав. Какие действия можно расценивать как угрозу нарушения прав на ИС.</w:t>
                        </w:r>
                        <w:r w:rsidRPr="005B2AEE">
                          <w:rPr>
                            <w:rFonts w:ascii="Verdana" w:eastAsia="Times New Roman" w:hAnsi="Verdana" w:cs="Times New Roman"/>
                            <w:color w:val="000000"/>
                            <w:sz w:val="20"/>
                            <w:szCs w:val="20"/>
                            <w:lang w:eastAsia="ru-RU"/>
                          </w:rPr>
                          <w:br/>
                          <w:t>Судебная практика в правовой защите результатов интеллектуальной деятельности: тенденции 2016г., способы защиты, в том числе в сфере защиты патентов и товарных знаков в Суде по интеллектуальным правам. Практика Суда в сфере защиты авторских прав. </w:t>
                        </w:r>
                        <w:r w:rsidRPr="005B2AEE">
                          <w:rPr>
                            <w:rFonts w:ascii="Verdana" w:eastAsia="Times New Roman" w:hAnsi="Verdana" w:cs="Times New Roman"/>
                            <w:color w:val="000000"/>
                            <w:sz w:val="20"/>
                            <w:szCs w:val="20"/>
                            <w:lang w:eastAsia="ru-RU"/>
                          </w:rPr>
                          <w:br/>
                          <w:t xml:space="preserve">Разбор некоторых сложных моментов: подача документов, что следует указывать в иске при требовании компенсации за нарушение прав на патент. Вопросы </w:t>
                        </w:r>
                        <w:proofErr w:type="spellStart"/>
                        <w:r w:rsidRPr="005B2AEE">
                          <w:rPr>
                            <w:rFonts w:ascii="Verdana" w:eastAsia="Times New Roman" w:hAnsi="Verdana" w:cs="Times New Roman"/>
                            <w:color w:val="000000"/>
                            <w:sz w:val="20"/>
                            <w:szCs w:val="20"/>
                            <w:lang w:eastAsia="ru-RU"/>
                          </w:rPr>
                          <w:t>охраноспособности</w:t>
                        </w:r>
                        <w:proofErr w:type="spellEnd"/>
                        <w:r w:rsidRPr="005B2AEE">
                          <w:rPr>
                            <w:rFonts w:ascii="Verdana" w:eastAsia="Times New Roman" w:hAnsi="Verdana" w:cs="Times New Roman"/>
                            <w:color w:val="000000"/>
                            <w:sz w:val="20"/>
                            <w:szCs w:val="20"/>
                            <w:lang w:eastAsia="ru-RU"/>
                          </w:rPr>
                          <w:t xml:space="preserve"> товарных знаков. Практика взыскания компенсации в спорах в сфере интеллектуальной собственности.</w:t>
                        </w:r>
                        <w:r w:rsidRPr="005B2AEE">
                          <w:rPr>
                            <w:rFonts w:ascii="Verdana" w:eastAsia="Times New Roman" w:hAnsi="Verdana" w:cs="Times New Roman"/>
                            <w:color w:val="000000"/>
                            <w:sz w:val="20"/>
                            <w:szCs w:val="20"/>
                            <w:lang w:eastAsia="ru-RU"/>
                          </w:rPr>
                          <w:br/>
                          <w:t>Некоторые вопросы защиты нарушенных прав на объекты интеллектуальной собственности в Палате по патентным спорам (ППС</w:t>
                        </w:r>
                        <w:proofErr w:type="gramStart"/>
                        <w:r w:rsidRPr="005B2AEE">
                          <w:rPr>
                            <w:rFonts w:ascii="Verdana" w:eastAsia="Times New Roman" w:hAnsi="Verdana" w:cs="Times New Roman"/>
                            <w:color w:val="000000"/>
                            <w:sz w:val="20"/>
                            <w:szCs w:val="20"/>
                            <w:lang w:eastAsia="ru-RU"/>
                          </w:rPr>
                          <w:t>).</w:t>
                        </w:r>
                        <w:r w:rsidRPr="005B2AEE">
                          <w:rPr>
                            <w:rFonts w:ascii="Verdana" w:eastAsia="Times New Roman" w:hAnsi="Verdana" w:cs="Times New Roman"/>
                            <w:color w:val="000000"/>
                            <w:sz w:val="20"/>
                            <w:szCs w:val="20"/>
                            <w:lang w:eastAsia="ru-RU"/>
                          </w:rPr>
                          <w:br/>
                        </w:r>
                        <w:r w:rsidRPr="005B2AEE">
                          <w:rPr>
                            <w:rFonts w:ascii="Verdana" w:eastAsia="Times New Roman" w:hAnsi="Verdana" w:cs="Times New Roman"/>
                            <w:b/>
                            <w:bCs/>
                            <w:i/>
                            <w:iCs/>
                            <w:color w:val="000000"/>
                            <w:sz w:val="18"/>
                            <w:szCs w:val="18"/>
                            <w:lang w:eastAsia="ru-RU"/>
                          </w:rPr>
                          <w:t>Докладчик</w:t>
                        </w:r>
                        <w:proofErr w:type="gramEnd"/>
                        <w:r w:rsidRPr="005B2AEE">
                          <w:rPr>
                            <w:rFonts w:ascii="Verdana" w:eastAsia="Times New Roman" w:hAnsi="Verdana" w:cs="Times New Roman"/>
                            <w:b/>
                            <w:bCs/>
                            <w:i/>
                            <w:iCs/>
                            <w:color w:val="000000"/>
                            <w:sz w:val="18"/>
                            <w:szCs w:val="18"/>
                            <w:lang w:eastAsia="ru-RU"/>
                          </w:rPr>
                          <w:t> </w:t>
                        </w:r>
                        <w:r w:rsidRPr="005B2AEE">
                          <w:rPr>
                            <w:rFonts w:ascii="Verdana" w:eastAsia="Times New Roman" w:hAnsi="Verdana" w:cs="Times New Roman"/>
                            <w:i/>
                            <w:iCs/>
                            <w:color w:val="000000"/>
                            <w:sz w:val="18"/>
                            <w:szCs w:val="18"/>
                            <w:lang w:eastAsia="ru-RU"/>
                          </w:rPr>
                          <w:t>– представитель Суда по интеллектуальным правам.</w:t>
                        </w:r>
                      </w:p>
                    </w:tc>
                  </w:tr>
                  <w:tr w:rsidR="005B2AEE" w:rsidRPr="005B2AEE" w:rsidTr="00E85EA4">
                    <w:trPr>
                      <w:trHeight w:val="270"/>
                      <w:tblCellSpacing w:w="0" w:type="dxa"/>
                    </w:trPr>
                    <w:tc>
                      <w:tcPr>
                        <w:tcW w:w="10425" w:type="dxa"/>
                        <w:shd w:val="clear" w:color="auto" w:fill="C4C4C4"/>
                        <w:vAlign w:val="center"/>
                        <w:hideMark/>
                      </w:tcPr>
                      <w:p w:rsidR="005B2AEE" w:rsidRPr="005B2AEE" w:rsidRDefault="005B2AEE" w:rsidP="005B2AEE">
                        <w:pPr>
                          <w:spacing w:after="0" w:line="240" w:lineRule="auto"/>
                          <w:rPr>
                            <w:rFonts w:ascii="Times New Roman" w:eastAsia="Times New Roman" w:hAnsi="Times New Roman" w:cs="Times New Roman"/>
                            <w:sz w:val="24"/>
                            <w:szCs w:val="24"/>
                            <w:lang w:eastAsia="ru-RU"/>
                          </w:rPr>
                        </w:pPr>
                        <w:r w:rsidRPr="005B2AEE">
                          <w:rPr>
                            <w:rFonts w:ascii="Verdana" w:eastAsia="Times New Roman" w:hAnsi="Verdana" w:cs="Times New Roman"/>
                            <w:b/>
                            <w:bCs/>
                            <w:color w:val="000000"/>
                            <w:sz w:val="20"/>
                            <w:szCs w:val="20"/>
                            <w:lang w:eastAsia="ru-RU"/>
                          </w:rPr>
                          <w:t>16.30 – 16.45</w:t>
                        </w:r>
                      </w:p>
                    </w:tc>
                  </w:tr>
                  <w:tr w:rsidR="005B2AEE" w:rsidRPr="005B2AEE" w:rsidTr="00E85EA4">
                    <w:trPr>
                      <w:tblCellSpacing w:w="0" w:type="dxa"/>
                    </w:trPr>
                    <w:tc>
                      <w:tcPr>
                        <w:tcW w:w="10425" w:type="dxa"/>
                        <w:vAlign w:val="center"/>
                        <w:hideMark/>
                      </w:tcPr>
                      <w:tbl>
                        <w:tblPr>
                          <w:tblW w:w="10425" w:type="dxa"/>
                          <w:jc w:val="center"/>
                          <w:tblCellSpacing w:w="0" w:type="dxa"/>
                          <w:tblLayout w:type="fixed"/>
                          <w:tblCellMar>
                            <w:left w:w="0" w:type="dxa"/>
                            <w:right w:w="0" w:type="dxa"/>
                          </w:tblCellMar>
                          <w:tblLook w:val="04A0" w:firstRow="1" w:lastRow="0" w:firstColumn="1" w:lastColumn="0" w:noHBand="0" w:noVBand="1"/>
                        </w:tblPr>
                        <w:tblGrid>
                          <w:gridCol w:w="450"/>
                          <w:gridCol w:w="9975"/>
                        </w:tblGrid>
                        <w:tr w:rsidR="005B2AEE" w:rsidRPr="005B2AEE" w:rsidTr="00E85EA4">
                          <w:trPr>
                            <w:trHeight w:val="300"/>
                            <w:tblCellSpacing w:w="0" w:type="dxa"/>
                            <w:jc w:val="center"/>
                          </w:trPr>
                          <w:tc>
                            <w:tcPr>
                              <w:tcW w:w="450" w:type="dxa"/>
                              <w:vAlign w:val="center"/>
                              <w:hideMark/>
                            </w:tcPr>
                            <w:p w:rsidR="005B2AEE" w:rsidRPr="005B2AEE" w:rsidRDefault="005B2AEE" w:rsidP="005B2AEE">
                              <w:pPr>
                                <w:framePr w:hSpace="45" w:wrap="around" w:vAnchor="text" w:hAnchor="text"/>
                                <w:spacing w:after="0" w:line="240" w:lineRule="auto"/>
                                <w:jc w:val="center"/>
                                <w:rPr>
                                  <w:rFonts w:ascii="Times New Roman" w:eastAsia="Times New Roman" w:hAnsi="Times New Roman" w:cs="Times New Roman"/>
                                  <w:sz w:val="24"/>
                                  <w:szCs w:val="24"/>
                                  <w:lang w:eastAsia="ru-RU"/>
                                </w:rPr>
                              </w:pPr>
                              <w:r w:rsidRPr="005B2AEE">
                                <w:rPr>
                                  <w:rFonts w:ascii="Times New Roman" w:eastAsia="Times New Roman" w:hAnsi="Times New Roman" w:cs="Times New Roman"/>
                                  <w:noProof/>
                                  <w:sz w:val="24"/>
                                  <w:szCs w:val="24"/>
                                  <w:lang w:eastAsia="ru-RU"/>
                                </w:rPr>
                                <w:drawing>
                                  <wp:inline distT="0" distB="0" distL="0" distR="0">
                                    <wp:extent cx="257175" cy="190500"/>
                                    <wp:effectExtent l="0" t="0" r="9525" b="0"/>
                                    <wp:docPr id="1" name="Рисунок 1" descr="http://www.asergroup.ru/_design/design-002/t003/images/cap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ergroup.ru/_design/design-002/t003/images/cap1-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p>
                          </w:tc>
                          <w:tc>
                            <w:tcPr>
                              <w:tcW w:w="9975" w:type="dxa"/>
                              <w:vAlign w:val="center"/>
                              <w:hideMark/>
                            </w:tcPr>
                            <w:p w:rsidR="005B2AEE" w:rsidRPr="005B2AEE" w:rsidRDefault="005B2AEE" w:rsidP="005B2AEE">
                              <w:pPr>
                                <w:framePr w:hSpace="45" w:wrap="around" w:vAnchor="text" w:hAnchor="text"/>
                                <w:spacing w:after="0" w:line="240" w:lineRule="auto"/>
                                <w:rPr>
                                  <w:rFonts w:ascii="Verdana" w:eastAsia="Times New Roman" w:hAnsi="Verdana" w:cs="Times New Roman"/>
                                  <w:color w:val="000000"/>
                                  <w:sz w:val="20"/>
                                  <w:szCs w:val="20"/>
                                  <w:lang w:eastAsia="ru-RU"/>
                                </w:rPr>
                              </w:pPr>
                              <w:r w:rsidRPr="005B2AEE">
                                <w:rPr>
                                  <w:rFonts w:ascii="Verdana" w:eastAsia="Times New Roman" w:hAnsi="Verdana" w:cs="Times New Roman"/>
                                  <w:color w:val="000000"/>
                                  <w:sz w:val="20"/>
                                  <w:szCs w:val="20"/>
                                  <w:lang w:eastAsia="ru-RU"/>
                                </w:rPr>
                                <w:t>Кофе-пауза</w:t>
                              </w:r>
                            </w:p>
                          </w:tc>
                        </w:tr>
                      </w:tbl>
                      <w:p w:rsidR="005B2AEE" w:rsidRPr="005B2AEE" w:rsidRDefault="005B2AEE" w:rsidP="005B2AEE">
                        <w:pPr>
                          <w:spacing w:after="0" w:line="240" w:lineRule="auto"/>
                          <w:rPr>
                            <w:rFonts w:ascii="Times New Roman" w:eastAsia="Times New Roman" w:hAnsi="Times New Roman" w:cs="Times New Roman"/>
                            <w:sz w:val="24"/>
                            <w:szCs w:val="24"/>
                            <w:lang w:eastAsia="ru-RU"/>
                          </w:rPr>
                        </w:pPr>
                      </w:p>
                    </w:tc>
                  </w:tr>
                  <w:tr w:rsidR="005B2AEE" w:rsidRPr="005B2AEE" w:rsidTr="00E85EA4">
                    <w:trPr>
                      <w:trHeight w:val="270"/>
                      <w:tblCellSpacing w:w="0" w:type="dxa"/>
                    </w:trPr>
                    <w:tc>
                      <w:tcPr>
                        <w:tcW w:w="10425" w:type="dxa"/>
                        <w:shd w:val="clear" w:color="auto" w:fill="C4C4C4"/>
                        <w:vAlign w:val="center"/>
                        <w:hideMark/>
                      </w:tcPr>
                      <w:p w:rsidR="005B2AEE" w:rsidRPr="005B2AEE" w:rsidRDefault="005B2AEE" w:rsidP="005B2AEE">
                        <w:pPr>
                          <w:spacing w:after="0" w:line="240" w:lineRule="auto"/>
                          <w:rPr>
                            <w:rFonts w:ascii="Times New Roman" w:eastAsia="Times New Roman" w:hAnsi="Times New Roman" w:cs="Times New Roman"/>
                            <w:sz w:val="24"/>
                            <w:szCs w:val="24"/>
                            <w:lang w:eastAsia="ru-RU"/>
                          </w:rPr>
                        </w:pPr>
                        <w:r w:rsidRPr="005B2AEE">
                          <w:rPr>
                            <w:rFonts w:ascii="Verdana" w:eastAsia="Times New Roman" w:hAnsi="Verdana" w:cs="Times New Roman"/>
                            <w:b/>
                            <w:bCs/>
                            <w:color w:val="000000"/>
                            <w:sz w:val="20"/>
                            <w:szCs w:val="20"/>
                            <w:lang w:eastAsia="ru-RU"/>
                          </w:rPr>
                          <w:lastRenderedPageBreak/>
                          <w:t>16.45 – 17.40</w:t>
                        </w:r>
                      </w:p>
                    </w:tc>
                  </w:tr>
                  <w:tr w:rsidR="005B2AEE" w:rsidRPr="005B2AEE" w:rsidTr="00E85EA4">
                    <w:trPr>
                      <w:tblCellSpacing w:w="0" w:type="dxa"/>
                    </w:trPr>
                    <w:tc>
                      <w:tcPr>
                        <w:tcW w:w="10425" w:type="dxa"/>
                        <w:vAlign w:val="center"/>
                        <w:hideMark/>
                      </w:tcPr>
                      <w:p w:rsidR="005B2AEE" w:rsidRPr="005B2AEE" w:rsidRDefault="005B2AEE" w:rsidP="005B2AEE">
                        <w:pPr>
                          <w:spacing w:after="0" w:line="240" w:lineRule="auto"/>
                          <w:rPr>
                            <w:rFonts w:ascii="Verdana" w:eastAsia="Times New Roman" w:hAnsi="Verdana" w:cs="Times New Roman"/>
                            <w:color w:val="000000"/>
                            <w:sz w:val="20"/>
                            <w:szCs w:val="20"/>
                            <w:lang w:eastAsia="ru-RU"/>
                          </w:rPr>
                        </w:pPr>
                        <w:proofErr w:type="spellStart"/>
                        <w:r w:rsidRPr="005B2AEE">
                          <w:rPr>
                            <w:rFonts w:ascii="Verdana" w:eastAsia="Times New Roman" w:hAnsi="Verdana" w:cs="Times New Roman"/>
                            <w:b/>
                            <w:bCs/>
                            <w:color w:val="000000"/>
                            <w:sz w:val="20"/>
                            <w:szCs w:val="20"/>
                            <w:lang w:eastAsia="ru-RU"/>
                          </w:rPr>
                          <w:t>Госконтракты</w:t>
                        </w:r>
                        <w:proofErr w:type="spellEnd"/>
                        <w:r w:rsidRPr="005B2AEE">
                          <w:rPr>
                            <w:rFonts w:ascii="Verdana" w:eastAsia="Times New Roman" w:hAnsi="Verdana" w:cs="Times New Roman"/>
                            <w:b/>
                            <w:bCs/>
                            <w:color w:val="000000"/>
                            <w:sz w:val="20"/>
                            <w:szCs w:val="20"/>
                            <w:lang w:eastAsia="ru-RU"/>
                          </w:rPr>
                          <w:t>: реализация норм законодательства в 2016г., основные положения и распределение прав на РИД, созданные по договору или государственному контракту, в том числе на продукцию военного, специального и двойного назначения.</w:t>
                        </w:r>
                        <w:r w:rsidRPr="005B2AEE">
                          <w:rPr>
                            <w:rFonts w:ascii="Verdana" w:eastAsia="Times New Roman" w:hAnsi="Verdana" w:cs="Times New Roman"/>
                            <w:color w:val="000000"/>
                            <w:sz w:val="20"/>
                            <w:szCs w:val="20"/>
                            <w:lang w:eastAsia="ru-RU"/>
                          </w:rPr>
                          <w:br/>
                          <w:t xml:space="preserve">Законодательное регулирование: положения государственных контрактов при выполнении НИОКР для государственных нужд, новые административные регламенты Роспатента и управление интеллектуальной собственностью для заказчиков государственных контрактов. Изменения в регулировании создания РИД по </w:t>
                        </w:r>
                        <w:proofErr w:type="spellStart"/>
                        <w:r w:rsidRPr="005B2AEE">
                          <w:rPr>
                            <w:rFonts w:ascii="Verdana" w:eastAsia="Times New Roman" w:hAnsi="Verdana" w:cs="Times New Roman"/>
                            <w:color w:val="000000"/>
                            <w:sz w:val="20"/>
                            <w:szCs w:val="20"/>
                            <w:lang w:eastAsia="ru-RU"/>
                          </w:rPr>
                          <w:t>госконтрактам</w:t>
                        </w:r>
                        <w:proofErr w:type="spellEnd"/>
                        <w:r w:rsidRPr="005B2AEE">
                          <w:rPr>
                            <w:rFonts w:ascii="Verdana" w:eastAsia="Times New Roman" w:hAnsi="Verdana" w:cs="Times New Roman"/>
                            <w:color w:val="000000"/>
                            <w:sz w:val="20"/>
                            <w:szCs w:val="20"/>
                            <w:lang w:eastAsia="ru-RU"/>
                          </w:rPr>
                          <w:t xml:space="preserve"> на основе договоров. Новый состав сведений, включаемых в раздел "Интеллектуальная собственность" Реестра собственности города Москвы. Постановление Правительства Москвы от 12.07.2016 N 414-ПП "О внесении изменений в постановление Правительства Москвы от 18 июня 2012 г. N 273-ПП и признании утратившими силу правовых актов города Москвы" (в целях формирования единого механизма распоряжения исключительным правом на РИД и средства индивидуализации). Поправки в ч.4 ГК РФ, связанные с </w:t>
                        </w:r>
                        <w:proofErr w:type="spellStart"/>
                        <w:r w:rsidRPr="005B2AEE">
                          <w:rPr>
                            <w:rFonts w:ascii="Verdana" w:eastAsia="Times New Roman" w:hAnsi="Verdana" w:cs="Times New Roman"/>
                            <w:color w:val="000000"/>
                            <w:sz w:val="20"/>
                            <w:szCs w:val="20"/>
                            <w:lang w:eastAsia="ru-RU"/>
                          </w:rPr>
                          <w:t>госконтрактами</w:t>
                        </w:r>
                        <w:proofErr w:type="spellEnd"/>
                        <w:r w:rsidRPr="005B2AEE">
                          <w:rPr>
                            <w:rFonts w:ascii="Verdana" w:eastAsia="Times New Roman" w:hAnsi="Verdana" w:cs="Times New Roman"/>
                            <w:color w:val="000000"/>
                            <w:sz w:val="20"/>
                            <w:szCs w:val="20"/>
                            <w:lang w:eastAsia="ru-RU"/>
                          </w:rPr>
                          <w:t>.</w:t>
                        </w:r>
                        <w:r w:rsidRPr="005B2AEE">
                          <w:rPr>
                            <w:rFonts w:ascii="Verdana" w:eastAsia="Times New Roman" w:hAnsi="Verdana" w:cs="Times New Roman"/>
                            <w:color w:val="000000"/>
                            <w:sz w:val="20"/>
                            <w:szCs w:val="20"/>
                            <w:lang w:eastAsia="ru-RU"/>
                          </w:rPr>
                          <w:br/>
                          <w:t xml:space="preserve">Рекомендации исполнителям и государственным заказчикам. Необходимость передачи прав на РИД по государственному контракту государственному заказчику и проблемы введения в оборот РИД. Условия </w:t>
                        </w:r>
                        <w:proofErr w:type="spellStart"/>
                        <w:r w:rsidRPr="005B2AEE">
                          <w:rPr>
                            <w:rFonts w:ascii="Verdana" w:eastAsia="Times New Roman" w:hAnsi="Verdana" w:cs="Times New Roman"/>
                            <w:color w:val="000000"/>
                            <w:sz w:val="20"/>
                            <w:szCs w:val="20"/>
                            <w:lang w:eastAsia="ru-RU"/>
                          </w:rPr>
                          <w:t>госконтрактов</w:t>
                        </w:r>
                        <w:proofErr w:type="spellEnd"/>
                        <w:r w:rsidRPr="005B2AEE">
                          <w:rPr>
                            <w:rFonts w:ascii="Verdana" w:eastAsia="Times New Roman" w:hAnsi="Verdana" w:cs="Times New Roman"/>
                            <w:color w:val="000000"/>
                            <w:sz w:val="20"/>
                            <w:szCs w:val="20"/>
                            <w:lang w:eastAsia="ru-RU"/>
                          </w:rPr>
                          <w:t xml:space="preserve"> об ИС. Какие права у соисполнителей по </w:t>
                        </w:r>
                        <w:proofErr w:type="spellStart"/>
                        <w:r w:rsidRPr="005B2AEE">
                          <w:rPr>
                            <w:rFonts w:ascii="Verdana" w:eastAsia="Times New Roman" w:hAnsi="Verdana" w:cs="Times New Roman"/>
                            <w:color w:val="000000"/>
                            <w:sz w:val="20"/>
                            <w:szCs w:val="20"/>
                            <w:lang w:eastAsia="ru-RU"/>
                          </w:rPr>
                          <w:t>госконтракту</w:t>
                        </w:r>
                        <w:proofErr w:type="spellEnd"/>
                        <w:r w:rsidRPr="005B2AEE">
                          <w:rPr>
                            <w:rFonts w:ascii="Verdana" w:eastAsia="Times New Roman" w:hAnsi="Verdana" w:cs="Times New Roman"/>
                            <w:color w:val="000000"/>
                            <w:sz w:val="20"/>
                            <w:szCs w:val="20"/>
                            <w:lang w:eastAsia="ru-RU"/>
                          </w:rPr>
                          <w:t xml:space="preserve"> (третьих лиц по договору); как условия по </w:t>
                        </w:r>
                        <w:proofErr w:type="spellStart"/>
                        <w:r w:rsidRPr="005B2AEE">
                          <w:rPr>
                            <w:rFonts w:ascii="Verdana" w:eastAsia="Times New Roman" w:hAnsi="Verdana" w:cs="Times New Roman"/>
                            <w:color w:val="000000"/>
                            <w:sz w:val="20"/>
                            <w:szCs w:val="20"/>
                            <w:lang w:eastAsia="ru-RU"/>
                          </w:rPr>
                          <w:t>госконтракту</w:t>
                        </w:r>
                        <w:proofErr w:type="spellEnd"/>
                        <w:r w:rsidRPr="005B2AEE">
                          <w:rPr>
                            <w:rFonts w:ascii="Verdana" w:eastAsia="Times New Roman" w:hAnsi="Verdana" w:cs="Times New Roman"/>
                            <w:color w:val="000000"/>
                            <w:sz w:val="20"/>
                            <w:szCs w:val="20"/>
                            <w:lang w:eastAsia="ru-RU"/>
                          </w:rPr>
                          <w:t xml:space="preserve"> транслируются на всех соисполнителей?). Особенности закрепления прав на РИД. Взаимоотношения, ответственность. </w:t>
                        </w:r>
                        <w:r w:rsidRPr="005B2AEE">
                          <w:rPr>
                            <w:rFonts w:ascii="Verdana" w:eastAsia="Times New Roman" w:hAnsi="Verdana" w:cs="Times New Roman"/>
                            <w:color w:val="000000"/>
                            <w:sz w:val="20"/>
                            <w:szCs w:val="20"/>
                            <w:lang w:eastAsia="ru-RU"/>
                          </w:rPr>
                          <w:br/>
                          <w:t>Планируемые поправки в порядок расчёта размера лицензионного платежа в 2016г.</w:t>
                        </w:r>
                        <w:r w:rsidRPr="005B2AEE">
                          <w:rPr>
                            <w:rFonts w:ascii="Verdana" w:eastAsia="Times New Roman" w:hAnsi="Verdana" w:cs="Times New Roman"/>
                            <w:color w:val="000000"/>
                            <w:sz w:val="20"/>
                            <w:szCs w:val="20"/>
                            <w:lang w:eastAsia="ru-RU"/>
                          </w:rPr>
                          <w:br/>
                          <w:t>Практика расчета доли РФ в доходах от предоставления права использования продукции военного, специального или двойного назначения. Постановление Правительства РФ от 22 марта 2012 г. N 233 "Об утверждении Правил осуществления государственными заказчиками управления правами Российской Федерации на результаты интеллектуальной деятельности гражданского, военного, специального и двойного назначения". Постановление Правительства РФ от 30.05.2013 N 458 "О внесении изменений в Правила осуществления государственными заказчиками управления правами Российской Федерации на результаты интеллектуальной деятельности гражданского, военного, специального и двойного назначения</w:t>
                        </w:r>
                        <w:proofErr w:type="gramStart"/>
                        <w:r w:rsidRPr="005B2AEE">
                          <w:rPr>
                            <w:rFonts w:ascii="Verdana" w:eastAsia="Times New Roman" w:hAnsi="Verdana" w:cs="Times New Roman"/>
                            <w:color w:val="000000"/>
                            <w:sz w:val="20"/>
                            <w:szCs w:val="20"/>
                            <w:lang w:eastAsia="ru-RU"/>
                          </w:rPr>
                          <w:t>".</w:t>
                        </w:r>
                        <w:r w:rsidRPr="005B2AEE">
                          <w:rPr>
                            <w:rFonts w:ascii="Verdana" w:eastAsia="Times New Roman" w:hAnsi="Verdana" w:cs="Times New Roman"/>
                            <w:color w:val="000000"/>
                            <w:sz w:val="20"/>
                            <w:szCs w:val="20"/>
                            <w:lang w:eastAsia="ru-RU"/>
                          </w:rPr>
                          <w:br/>
                        </w:r>
                        <w:r w:rsidRPr="005B2AEE">
                          <w:rPr>
                            <w:rFonts w:ascii="Verdana" w:eastAsia="Times New Roman" w:hAnsi="Verdana" w:cs="Times New Roman"/>
                            <w:b/>
                            <w:bCs/>
                            <w:i/>
                            <w:iCs/>
                            <w:color w:val="000000"/>
                            <w:sz w:val="18"/>
                            <w:szCs w:val="18"/>
                            <w:lang w:eastAsia="ru-RU"/>
                          </w:rPr>
                          <w:t>Докладчик</w:t>
                        </w:r>
                        <w:proofErr w:type="gramEnd"/>
                        <w:r w:rsidRPr="005B2AEE">
                          <w:rPr>
                            <w:rFonts w:ascii="Verdana" w:eastAsia="Times New Roman" w:hAnsi="Verdana" w:cs="Times New Roman"/>
                            <w:b/>
                            <w:bCs/>
                            <w:i/>
                            <w:iCs/>
                            <w:color w:val="000000"/>
                            <w:sz w:val="18"/>
                            <w:szCs w:val="18"/>
                            <w:lang w:eastAsia="ru-RU"/>
                          </w:rPr>
                          <w:t> </w:t>
                        </w:r>
                        <w:r w:rsidRPr="005B2AEE">
                          <w:rPr>
                            <w:rFonts w:ascii="Verdana" w:eastAsia="Times New Roman" w:hAnsi="Verdana" w:cs="Times New Roman"/>
                            <w:i/>
                            <w:iCs/>
                            <w:color w:val="000000"/>
                            <w:sz w:val="18"/>
                            <w:szCs w:val="18"/>
                            <w:lang w:eastAsia="ru-RU"/>
                          </w:rPr>
                          <w:t>– представитель Управления контроля, надзора и правовой защиты интересов государства Федеральной службы по интеллектуальной собственности (Роспатент).</w:t>
                        </w:r>
                      </w:p>
                    </w:tc>
                  </w:tr>
                  <w:tr w:rsidR="005B2AEE" w:rsidRPr="005B2AEE" w:rsidTr="00E85EA4">
                    <w:trPr>
                      <w:tblCellSpacing w:w="0" w:type="dxa"/>
                    </w:trPr>
                    <w:tc>
                      <w:tcPr>
                        <w:tcW w:w="10425" w:type="dxa"/>
                        <w:vAlign w:val="center"/>
                        <w:hideMark/>
                      </w:tcPr>
                      <w:p w:rsidR="005B2AEE" w:rsidRPr="005B2AEE" w:rsidRDefault="005B2AEE" w:rsidP="005B2AEE">
                        <w:pPr>
                          <w:spacing w:after="0" w:line="240" w:lineRule="auto"/>
                          <w:rPr>
                            <w:rFonts w:ascii="Verdana" w:eastAsia="Times New Roman" w:hAnsi="Verdana" w:cs="Times New Roman"/>
                            <w:color w:val="000000"/>
                            <w:sz w:val="20"/>
                            <w:szCs w:val="20"/>
                            <w:lang w:eastAsia="ru-RU"/>
                          </w:rPr>
                        </w:pPr>
                      </w:p>
                    </w:tc>
                  </w:tr>
                </w:tbl>
                <w:p w:rsidR="005B2AEE" w:rsidRPr="005B2AEE" w:rsidRDefault="005B2AEE" w:rsidP="005B2AEE">
                  <w:pPr>
                    <w:framePr w:hSpace="45" w:wrap="around" w:vAnchor="text" w:hAnchor="text"/>
                    <w:spacing w:after="0" w:line="240" w:lineRule="auto"/>
                    <w:jc w:val="center"/>
                    <w:rPr>
                      <w:rFonts w:ascii="Times New Roman" w:eastAsia="Times New Roman" w:hAnsi="Times New Roman" w:cs="Times New Roman"/>
                      <w:sz w:val="24"/>
                      <w:szCs w:val="24"/>
                      <w:lang w:eastAsia="ru-RU"/>
                    </w:rPr>
                  </w:pPr>
                </w:p>
              </w:tc>
            </w:tr>
          </w:tbl>
          <w:p w:rsidR="005B2AEE" w:rsidRPr="005B2AEE" w:rsidRDefault="005B2AEE" w:rsidP="005B2AEE">
            <w:pPr>
              <w:spacing w:after="0" w:line="240" w:lineRule="auto"/>
              <w:jc w:val="center"/>
              <w:rPr>
                <w:rFonts w:ascii="Times New Roman" w:eastAsia="Times New Roman" w:hAnsi="Times New Roman" w:cs="Times New Roman"/>
                <w:sz w:val="24"/>
                <w:szCs w:val="24"/>
                <w:lang w:eastAsia="ru-RU"/>
              </w:rPr>
            </w:pPr>
          </w:p>
        </w:tc>
      </w:tr>
    </w:tbl>
    <w:p w:rsidR="00F62935" w:rsidRPr="005B2AEE" w:rsidRDefault="00F62935">
      <w:pPr>
        <w:rPr>
          <w:rFonts w:ascii="Times New Roman" w:hAnsi="Times New Roman" w:cs="Times New Roman"/>
          <w:sz w:val="28"/>
          <w:szCs w:val="28"/>
        </w:rPr>
      </w:pPr>
    </w:p>
    <w:sectPr w:rsidR="00F62935" w:rsidRPr="005B2AEE" w:rsidSect="00E85EA4">
      <w:pgSz w:w="11906" w:h="16838"/>
      <w:pgMar w:top="1134" w:right="284"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EE"/>
    <w:rsid w:val="005B2AEE"/>
    <w:rsid w:val="00BE65B3"/>
    <w:rsid w:val="00E85EA4"/>
    <w:rsid w:val="00F62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62DA2-23A8-4E7E-A589-3D288116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2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2AEE"/>
  </w:style>
  <w:style w:type="character" w:styleId="a4">
    <w:name w:val="Strong"/>
    <w:basedOn w:val="a0"/>
    <w:uiPriority w:val="22"/>
    <w:qFormat/>
    <w:rsid w:val="005B2AEE"/>
    <w:rPr>
      <w:b/>
      <w:bCs/>
    </w:rPr>
  </w:style>
  <w:style w:type="character" w:styleId="a5">
    <w:name w:val="Emphasis"/>
    <w:basedOn w:val="a0"/>
    <w:uiPriority w:val="20"/>
    <w:qFormat/>
    <w:rsid w:val="005B2A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460094">
      <w:bodyDiv w:val="1"/>
      <w:marLeft w:val="0"/>
      <w:marRight w:val="0"/>
      <w:marTop w:val="0"/>
      <w:marBottom w:val="0"/>
      <w:divBdr>
        <w:top w:val="none" w:sz="0" w:space="0" w:color="auto"/>
        <w:left w:val="none" w:sz="0" w:space="0" w:color="auto"/>
        <w:bottom w:val="none" w:sz="0" w:space="0" w:color="auto"/>
        <w:right w:val="none" w:sz="0" w:space="0" w:color="auto"/>
      </w:divBdr>
      <w:divsChild>
        <w:div w:id="118649710">
          <w:marLeft w:val="0"/>
          <w:marRight w:val="0"/>
          <w:marTop w:val="0"/>
          <w:marBottom w:val="0"/>
          <w:divBdr>
            <w:top w:val="none" w:sz="0" w:space="0" w:color="auto"/>
            <w:left w:val="none" w:sz="0" w:space="0" w:color="auto"/>
            <w:bottom w:val="none" w:sz="0" w:space="0" w:color="auto"/>
            <w:right w:val="none" w:sz="0" w:space="0" w:color="auto"/>
          </w:divBdr>
        </w:div>
        <w:div w:id="184052703">
          <w:marLeft w:val="0"/>
          <w:marRight w:val="0"/>
          <w:marTop w:val="0"/>
          <w:marBottom w:val="0"/>
          <w:divBdr>
            <w:top w:val="none" w:sz="0" w:space="0" w:color="auto"/>
            <w:left w:val="none" w:sz="0" w:space="0" w:color="auto"/>
            <w:bottom w:val="none" w:sz="0" w:space="0" w:color="auto"/>
            <w:right w:val="none" w:sz="0" w:space="0" w:color="auto"/>
          </w:divBdr>
        </w:div>
        <w:div w:id="137577141">
          <w:marLeft w:val="0"/>
          <w:marRight w:val="0"/>
          <w:marTop w:val="0"/>
          <w:marBottom w:val="0"/>
          <w:divBdr>
            <w:top w:val="none" w:sz="0" w:space="0" w:color="auto"/>
            <w:left w:val="none" w:sz="0" w:space="0" w:color="auto"/>
            <w:bottom w:val="none" w:sz="0" w:space="0" w:color="auto"/>
            <w:right w:val="none" w:sz="0" w:space="0" w:color="auto"/>
          </w:divBdr>
        </w:div>
        <w:div w:id="1157378843">
          <w:marLeft w:val="0"/>
          <w:marRight w:val="0"/>
          <w:marTop w:val="0"/>
          <w:marBottom w:val="0"/>
          <w:divBdr>
            <w:top w:val="none" w:sz="0" w:space="0" w:color="auto"/>
            <w:left w:val="none" w:sz="0" w:space="0" w:color="auto"/>
            <w:bottom w:val="none" w:sz="0" w:space="0" w:color="auto"/>
            <w:right w:val="none" w:sz="0" w:space="0" w:color="auto"/>
          </w:divBdr>
        </w:div>
        <w:div w:id="50858065">
          <w:marLeft w:val="0"/>
          <w:marRight w:val="0"/>
          <w:marTop w:val="0"/>
          <w:marBottom w:val="0"/>
          <w:divBdr>
            <w:top w:val="none" w:sz="0" w:space="0" w:color="auto"/>
            <w:left w:val="none" w:sz="0" w:space="0" w:color="auto"/>
            <w:bottom w:val="none" w:sz="0" w:space="0" w:color="auto"/>
            <w:right w:val="none" w:sz="0" w:space="0" w:color="auto"/>
          </w:divBdr>
        </w:div>
        <w:div w:id="1444223387">
          <w:marLeft w:val="0"/>
          <w:marRight w:val="0"/>
          <w:marTop w:val="0"/>
          <w:marBottom w:val="0"/>
          <w:divBdr>
            <w:top w:val="none" w:sz="0" w:space="0" w:color="auto"/>
            <w:left w:val="none" w:sz="0" w:space="0" w:color="auto"/>
            <w:bottom w:val="none" w:sz="0" w:space="0" w:color="auto"/>
            <w:right w:val="none" w:sz="0" w:space="0" w:color="auto"/>
          </w:divBdr>
        </w:div>
      </w:divsChild>
    </w:div>
    <w:div w:id="199833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1353</Words>
  <Characters>7717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1</cp:revision>
  <dcterms:created xsi:type="dcterms:W3CDTF">2016-09-22T11:22:00Z</dcterms:created>
  <dcterms:modified xsi:type="dcterms:W3CDTF">2016-09-22T11:43:00Z</dcterms:modified>
</cp:coreProperties>
</file>