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1" w:rsidRDefault="003C4241" w:rsidP="003C42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42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241" w:rsidRDefault="003C4241">
            <w:pPr>
              <w:pStyle w:val="ConsPlusNormal"/>
            </w:pPr>
            <w:r>
              <w:t>5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241" w:rsidRDefault="003C4241">
            <w:pPr>
              <w:pStyle w:val="ConsPlusNormal"/>
              <w:jc w:val="right"/>
            </w:pPr>
            <w:r>
              <w:t>N 58-РЗ</w:t>
            </w:r>
          </w:p>
        </w:tc>
      </w:tr>
    </w:tbl>
    <w:p w:rsidR="003C4241" w:rsidRDefault="003C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Title"/>
        <w:jc w:val="center"/>
      </w:pPr>
      <w:r>
        <w:t>ЗАКОН</w:t>
      </w:r>
    </w:p>
    <w:p w:rsidR="003C4241" w:rsidRDefault="003C4241">
      <w:pPr>
        <w:pStyle w:val="ConsPlusTitle"/>
        <w:jc w:val="center"/>
      </w:pPr>
    </w:p>
    <w:p w:rsidR="003C4241" w:rsidRDefault="003C4241">
      <w:pPr>
        <w:pStyle w:val="ConsPlusTitle"/>
        <w:jc w:val="center"/>
      </w:pPr>
      <w:r>
        <w:t>РЕСПУБЛИКИ СЕВЕРНАЯ ОСЕТИЯ-АЛАНИЯ</w:t>
      </w:r>
    </w:p>
    <w:p w:rsidR="003C4241" w:rsidRDefault="003C4241">
      <w:pPr>
        <w:pStyle w:val="ConsPlusTitle"/>
        <w:jc w:val="center"/>
      </w:pPr>
    </w:p>
    <w:p w:rsidR="003C4241" w:rsidRDefault="003C4241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3C4241" w:rsidRDefault="003C4241">
      <w:pPr>
        <w:pStyle w:val="ConsPlusTitle"/>
        <w:jc w:val="center"/>
      </w:pPr>
      <w:r>
        <w:t>НОРМАТИВНЫХ ПРАВОВЫХ АКТОВ РЕСПУБЛИКИ СЕВЕРНАЯ ОСЕТИЯ-АЛАНИЯ, ПРОЕКТОВ МУНИЦИПАЛЬНЫХ НОРМАТИВНЫХ ПРАВОВЫХ АКТОВ И ЭКСПЕРТИЗЫ НОРМАТИВНЫХ ПРАВОВЫХ АКТОВ</w:t>
      </w:r>
    </w:p>
    <w:p w:rsidR="003C4241" w:rsidRDefault="003C4241">
      <w:pPr>
        <w:pStyle w:val="ConsPlusTitle"/>
        <w:jc w:val="center"/>
      </w:pPr>
      <w:r>
        <w:t>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</w:t>
      </w:r>
    </w:p>
    <w:p w:rsidR="003C4241" w:rsidRDefault="003C4241">
      <w:pPr>
        <w:pStyle w:val="ConsPlusTitle"/>
        <w:jc w:val="center"/>
      </w:pPr>
      <w:r>
        <w:t>ДЕЯТЕЛЬНОСТИ</w:t>
      </w:r>
    </w:p>
    <w:p w:rsidR="003C4241" w:rsidRDefault="003C42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42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4241" w:rsidRDefault="003C424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 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Северная Осетия-Алания</w:t>
            </w:r>
          </w:p>
          <w:p w:rsidR="003C4241" w:rsidRDefault="003C4241">
            <w:pPr>
              <w:pStyle w:val="ConsPlusNormal"/>
              <w:jc w:val="center"/>
            </w:pPr>
            <w:r>
              <w:rPr>
                <w:color w:val="392C69"/>
              </w:rPr>
              <w:t>от 03.07.2018 N 53-РЗ)</w:t>
            </w:r>
          </w:p>
        </w:tc>
      </w:tr>
    </w:tbl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3C4241" w:rsidRDefault="003C4241">
      <w:pPr>
        <w:pStyle w:val="ConsPlusNormal"/>
        <w:ind w:firstLine="540"/>
        <w:jc w:val="both"/>
      </w:pPr>
      <w:bookmarkStart w:id="0" w:name="_GoBack"/>
      <w:bookmarkEnd w:id="0"/>
    </w:p>
    <w:p w:rsidR="003C4241" w:rsidRDefault="003C4241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</w:t>
      </w:r>
      <w:hyperlink r:id="rId8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правовые отношения, возникающие при проведении оценки регулирующего воздействия проектов нормативных правовых актов Республики Северная Осетия-Алания, проектов муниципальных нормативных правовых актов, затрагивающих вопросы осуществления предпринимательской и инвестиционной деятельности (далее - оценка регулирующего воздействия проектов нормативных правовых актов Республики Северная Осетия-Алания, проектов муниципальных нормативных правовых актов) 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нормативных правовых актов Республики Северная Осетия-Алания, муниципальных нормативных правовых актов), устанавливает перечень муниципальных образований Республики Северная Осетия-Алания, в которых осуществление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и критерии включения муниципальных районов и городского округа в указанный перечень.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 w:rsidP="003C4241">
      <w:pPr>
        <w:pStyle w:val="ConsPlusTitle"/>
        <w:ind w:firstLine="539"/>
        <w:jc w:val="both"/>
        <w:outlineLvl w:val="0"/>
      </w:pPr>
      <w:r>
        <w:t>Статья 2. Оценка регулирующего воздействия проектов нормативных правовых актов Республики Северная Осетия-Алания</w:t>
      </w:r>
    </w:p>
    <w:p w:rsidR="003C4241" w:rsidRDefault="003C4241" w:rsidP="003C4241">
      <w:pPr>
        <w:pStyle w:val="ConsPlusNormal"/>
        <w:ind w:firstLine="539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03.07.2018 N 53-РЗ)</w:t>
      </w:r>
    </w:p>
    <w:p w:rsidR="003C4241" w:rsidRDefault="003C4241" w:rsidP="003C4241">
      <w:pPr>
        <w:pStyle w:val="ConsPlusNormal"/>
        <w:ind w:firstLine="539"/>
        <w:jc w:val="both"/>
      </w:pPr>
    </w:p>
    <w:p w:rsidR="003C4241" w:rsidRDefault="003C4241" w:rsidP="003C4241">
      <w:pPr>
        <w:pStyle w:val="ConsPlusNormal"/>
        <w:ind w:firstLine="539"/>
        <w:jc w:val="both"/>
      </w:pPr>
      <w:r>
        <w:t>1. Оценке регулирующего воздействия подлежат проекты законов и иных нормативных правовых актов Республики Северная Осетия-Алания, устанавливающие новые или изменяющие ранее предусмотренные нормативными правовыми актами Республики Северная Осетия-Алания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за исключением:</w:t>
      </w:r>
    </w:p>
    <w:p w:rsidR="003C4241" w:rsidRDefault="003C4241" w:rsidP="003C4241">
      <w:pPr>
        <w:pStyle w:val="ConsPlusNormal"/>
        <w:ind w:firstLine="539"/>
        <w:jc w:val="both"/>
      </w:pPr>
      <w:r>
        <w:t>1) проектов законов Республики Северная Осетия-Алания,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C4241" w:rsidRDefault="003C4241" w:rsidP="003C4241">
      <w:pPr>
        <w:pStyle w:val="ConsPlusNormal"/>
        <w:ind w:firstLine="539"/>
        <w:jc w:val="both"/>
      </w:pPr>
      <w:r>
        <w:t>2) проектов законов Республики Северная Осетия-Алания, регулирующих бюджетные правоотношения;</w:t>
      </w:r>
    </w:p>
    <w:p w:rsidR="003C4241" w:rsidRDefault="003C4241" w:rsidP="003C4241">
      <w:pPr>
        <w:pStyle w:val="ConsPlusNormal"/>
        <w:ind w:firstLine="539"/>
        <w:jc w:val="both"/>
      </w:pPr>
      <w:r>
        <w:t>3) проектов нормативных правовых актов Республики Северная Осетия-Алания, содержащих сведения, составляющие государственную тайну, или сведения конфиденциального характера.</w:t>
      </w:r>
    </w:p>
    <w:p w:rsidR="003C4241" w:rsidRDefault="003C4241" w:rsidP="003C4241">
      <w:pPr>
        <w:pStyle w:val="ConsPlusNormal"/>
        <w:ind w:firstLine="539"/>
        <w:jc w:val="both"/>
      </w:pPr>
      <w:r>
        <w:lastRenderedPageBreak/>
        <w:t>2. Оценка регулирующего воздействия проектов законов Республики Северная Осетия-Алания, вносимых в Парламент Республики Северная Осетия-Алания субъектами права законодательной инициативы (за исключением Главы Республики Северная Осетия-Алания, Правительства Республики Северная Осетия-Алания), проводится уполномоченным Правительством Республики Северная Осетия-Алания органом исполнительной власти Республики Северная Осетия-Алания (далее - уполномоченный орган) в порядке, установленном Правительством Республики Северная Осетия-Алания.</w:t>
      </w:r>
    </w:p>
    <w:p w:rsidR="003C4241" w:rsidRDefault="003C4241" w:rsidP="003C4241">
      <w:pPr>
        <w:pStyle w:val="ConsPlusNormal"/>
        <w:ind w:firstLine="539"/>
        <w:jc w:val="both"/>
      </w:pPr>
      <w:r>
        <w:t>3. Проект закона Республики Северная Осетия-Алания, указанный в части 2 настоящей статьи, с приложением пояснительной записки и финансово-экономического обоснования до его внесения в Парламент Республики Северная Осетия-Алания направляется субъектом права законодательной инициативы в уполномоченный орган для проведения оценки регулирующего воздействия проекта закона Республики Северная Осетия-Алания.</w:t>
      </w:r>
    </w:p>
    <w:p w:rsidR="003C4241" w:rsidRDefault="003C4241" w:rsidP="003C4241">
      <w:pPr>
        <w:pStyle w:val="ConsPlusNormal"/>
        <w:ind w:firstLine="539"/>
        <w:jc w:val="both"/>
      </w:pPr>
      <w:r>
        <w:t>Уполномоченный орган в срок, не превышающий 45 календарных дней после дня получения им проекта закона Республики Северная Осетия-Алания, проводит оценку регулирующего воздействия проекта закона Республики Северная Осетия-Алания и готовит заключение об оценке регулирующего воздействия проекта закона Республики Северная Осетия-Алания.</w:t>
      </w:r>
    </w:p>
    <w:p w:rsidR="003C4241" w:rsidRDefault="003C4241" w:rsidP="003C4241">
      <w:pPr>
        <w:pStyle w:val="ConsPlusNormal"/>
        <w:ind w:firstLine="539"/>
        <w:jc w:val="both"/>
      </w:pPr>
      <w:r>
        <w:t>4. Оценка регулирующего воздействия проектов законов Республики Северная Осетия-Алания, вносимых в Парламент Республики Северная Осетия-Алания в порядке законодательной инициативы Главой Республики Северная Осетия-Алания, Правительством Республики Северная Осетия-Алания, а также проектов иных нормативных правовых актов Республики Северная Осетия-Алания, проводится подготовившими проект органом исполнительной власти Республики Северная Осетия-Алания или иным государственным органом Республики Северная Осетия-Алания совместно с уполномоченным органом в порядке, установленном Правительством Республики Северная Осетия-Алания.</w:t>
      </w:r>
    </w:p>
    <w:p w:rsidR="003C4241" w:rsidRDefault="003C4241" w:rsidP="003C4241">
      <w:pPr>
        <w:pStyle w:val="ConsPlusNormal"/>
        <w:ind w:firstLine="539"/>
        <w:jc w:val="both"/>
      </w:pPr>
      <w:r>
        <w:t>5. Порядок проведения оценки регулирующего воздействия проектов нормативных правовых актов Республики Северная Осетия-Алания должен предусматривать следующие этапы:</w:t>
      </w:r>
    </w:p>
    <w:p w:rsidR="003C4241" w:rsidRDefault="003C4241" w:rsidP="003C4241">
      <w:pPr>
        <w:pStyle w:val="ConsPlusNormal"/>
        <w:ind w:firstLine="539"/>
        <w:jc w:val="both"/>
      </w:pPr>
      <w:r>
        <w:t>1) размещение уведомления о начале публичных обсуждений проекта нормативного правового акта Республики Северная Осетия-Алания, текста проекта нормативного правового акта Республики Северная Осетия-Алания и сводного отчета о проведении оценки регулирующего воздействия в информационно-телекоммуникационной сети "Интернет" на официальном сайте органа исполнительной власти Республики Северная Осетия-Алания или иного государственного органа Республики Северная Осетия-Алания;</w:t>
      </w:r>
    </w:p>
    <w:p w:rsidR="003C4241" w:rsidRDefault="003C4241" w:rsidP="003C4241">
      <w:pPr>
        <w:pStyle w:val="ConsPlusNormal"/>
        <w:ind w:firstLine="539"/>
        <w:jc w:val="both"/>
      </w:pPr>
      <w:r>
        <w:t>2) составление сводки предложений, поступивших в ходе публичных обсуждений, доработка проекта нормативного правового акта Республики Северная Осетия-Алания (в случае необходимости);</w:t>
      </w:r>
    </w:p>
    <w:p w:rsidR="003C4241" w:rsidRDefault="003C4241" w:rsidP="003C4241">
      <w:pPr>
        <w:pStyle w:val="ConsPlusNormal"/>
        <w:ind w:firstLine="539"/>
        <w:jc w:val="both"/>
      </w:pPr>
      <w:r>
        <w:t>3) подготовка заключения об оценке регулирующего воздействия проекта нормативного правового акта Республики Северная Осетия-Алания.</w:t>
      </w:r>
    </w:p>
    <w:p w:rsidR="003C4241" w:rsidRDefault="003C4241" w:rsidP="003C4241">
      <w:pPr>
        <w:pStyle w:val="ConsPlusNormal"/>
        <w:ind w:firstLine="539"/>
        <w:jc w:val="both"/>
      </w:pPr>
      <w:r>
        <w:t>6. В заключении об оценке регулирующего воздействия проекта нормативного правового акта Республики Северная Осетия-Алания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республиканского бюджета Республики Северная Осетия-Алания.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 w:rsidP="003C4241">
      <w:pPr>
        <w:pStyle w:val="ConsPlusTitle"/>
        <w:ind w:firstLine="540"/>
        <w:jc w:val="both"/>
        <w:outlineLvl w:val="0"/>
      </w:pPr>
      <w:r>
        <w:t>Статья 3. Оценка регулирующего воздействия проектов муниципальных нормативных правовых актов</w:t>
      </w:r>
    </w:p>
    <w:p w:rsidR="003C4241" w:rsidRDefault="003C4241" w:rsidP="003C4241">
      <w:pPr>
        <w:pStyle w:val="ConsPlusNormal"/>
        <w:ind w:firstLine="540"/>
        <w:jc w:val="both"/>
      </w:pPr>
      <w:r>
        <w:t>1. 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3C4241" w:rsidRDefault="003C4241" w:rsidP="003C4241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C4241" w:rsidRDefault="003C4241" w:rsidP="003C4241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3C4241" w:rsidRDefault="003C4241" w:rsidP="003C4241">
      <w:pPr>
        <w:pStyle w:val="ConsPlusNormal"/>
        <w:ind w:firstLine="540"/>
        <w:jc w:val="both"/>
      </w:pPr>
      <w:r>
        <w:t>3)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3C4241" w:rsidRDefault="003C4241" w:rsidP="003C4241">
      <w:pPr>
        <w:pStyle w:val="ConsPlusNormal"/>
        <w:jc w:val="both"/>
      </w:pPr>
      <w:r>
        <w:t xml:space="preserve">(п. 3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03.07.2018 N 53-РЗ)</w:t>
      </w:r>
    </w:p>
    <w:p w:rsidR="003C4241" w:rsidRDefault="003C4241" w:rsidP="003C4241">
      <w:pPr>
        <w:pStyle w:val="ConsPlusNormal"/>
        <w:ind w:firstLine="540"/>
        <w:jc w:val="both"/>
      </w:pPr>
      <w:r>
        <w:t xml:space="preserve">2. Оценка регулирующего воздействия проектов муниципальных образований, включенных в перечень, указанный в </w:t>
      </w:r>
      <w:hyperlink w:anchor="P74" w:history="1">
        <w:r>
          <w:rPr>
            <w:color w:val="0000FF"/>
          </w:rPr>
          <w:t>части 1 статьи 6</w:t>
        </w:r>
      </w:hyperlink>
      <w:r>
        <w:t xml:space="preserve"> настоящего Закона, проводится органами местного самоуправления соответствующих муниципальных образований.</w:t>
      </w:r>
    </w:p>
    <w:p w:rsidR="003C4241" w:rsidRDefault="003C4241" w:rsidP="003C4241">
      <w:pPr>
        <w:pStyle w:val="ConsPlusNormal"/>
        <w:ind w:firstLine="540"/>
        <w:jc w:val="both"/>
      </w:pPr>
      <w:r>
        <w:lastRenderedPageBreak/>
        <w:t>Оценка регулирующего воздействия проектов муниципальных нормативных правовых актов иных муниципальных образований может проводиться по решению органов местного самоуправления соответствующих муниципальных образований.</w:t>
      </w:r>
    </w:p>
    <w:p w:rsidR="003C4241" w:rsidRDefault="003C4241" w:rsidP="003C4241">
      <w:pPr>
        <w:pStyle w:val="ConsPlusNormal"/>
        <w:ind w:firstLine="540"/>
        <w:jc w:val="both"/>
      </w:pPr>
      <w:r>
        <w:t>3. Порядок проведения оценки регулирующего воздействия проектов муниципальных нормативных правовых актов устанавливается муниципальным правовым актом в соответствии с настоящим Законом.</w:t>
      </w:r>
    </w:p>
    <w:p w:rsidR="003C4241" w:rsidRDefault="003C4241" w:rsidP="003C4241">
      <w:pPr>
        <w:pStyle w:val="ConsPlusNormal"/>
        <w:ind w:firstLine="540"/>
        <w:jc w:val="both"/>
      </w:pPr>
      <w:r>
        <w:t>4. Порядок проведения оценки регулирующего воздействия проектов муниципальных нормативных правовых актов должен предусматривать следующие этапы:</w:t>
      </w:r>
    </w:p>
    <w:p w:rsidR="003C4241" w:rsidRDefault="003C4241" w:rsidP="003C4241">
      <w:pPr>
        <w:pStyle w:val="ConsPlusNormal"/>
        <w:ind w:firstLine="540"/>
        <w:jc w:val="both"/>
      </w:pPr>
      <w:r>
        <w:t>1) размещение в информационно-телекоммуникационной сети Интернет на официальном сайте органа местного самоуправления уведомления о начале публичных обсуждений проекта муниципального нормативного правового акта и сводного отчета о проведении оценки регулирующего воздействия проекта муниципального нормативного правового акта;</w:t>
      </w:r>
    </w:p>
    <w:p w:rsidR="003C4241" w:rsidRDefault="003C4241" w:rsidP="003C4241">
      <w:pPr>
        <w:pStyle w:val="ConsPlusNormal"/>
        <w:ind w:firstLine="540"/>
        <w:jc w:val="both"/>
      </w:pPr>
      <w:r>
        <w:t>2) составление сводки предложений, поступивших в ходе публичных обсуждений, доработка проекта муниципального нормативного правового акта (в случае необходимости);</w:t>
      </w:r>
    </w:p>
    <w:p w:rsidR="003C4241" w:rsidRDefault="003C4241" w:rsidP="003C4241">
      <w:pPr>
        <w:pStyle w:val="ConsPlusNormal"/>
        <w:ind w:firstLine="540"/>
        <w:jc w:val="both"/>
      </w:pPr>
      <w:r>
        <w:t>3) подготовка заключения об оценке регулирующего воздействия муниципального нормативного правового акта.</w:t>
      </w:r>
    </w:p>
    <w:p w:rsidR="003C4241" w:rsidRDefault="003C4241" w:rsidP="003C4241">
      <w:pPr>
        <w:pStyle w:val="ConsPlusNormal"/>
        <w:ind w:firstLine="540"/>
        <w:jc w:val="both"/>
      </w:pPr>
      <w:r>
        <w:t>5. 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образования.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Title"/>
        <w:ind w:firstLine="540"/>
        <w:jc w:val="both"/>
        <w:outlineLvl w:val="0"/>
      </w:pPr>
      <w:r>
        <w:t>Статья 4. Экспертиза нормативных правовых актов Республики Северная Осетия-Алания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Normal"/>
        <w:ind w:firstLine="540"/>
        <w:jc w:val="both"/>
      </w:pPr>
      <w:r>
        <w:t>1. Экспертиза нормативных правовых актов Республики Северная Осетия-Алания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Правительством Республики Северная Осетия-Алания.</w:t>
      </w:r>
    </w:p>
    <w:p w:rsidR="003C4241" w:rsidRDefault="003C424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03.07.2018 N 53-РЗ)</w:t>
      </w:r>
    </w:p>
    <w:p w:rsidR="003C4241" w:rsidRDefault="003C4241">
      <w:pPr>
        <w:pStyle w:val="ConsPlusNormal"/>
        <w:spacing w:before="220"/>
        <w:ind w:firstLine="540"/>
        <w:jc w:val="both"/>
      </w:pPr>
      <w:r>
        <w:t>2. По результатам проведения экспертизы нормативного правового акта Республики Северная Осетия-Алания уполномоченный орган готовит соответствующее заключение об экспертизе нормативного правового акта Республики Северная Осетия-Алания, содержащее выводы о положениях нормативного правового акта, в отношении которого проводилась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Осетия-Алания, с обоснованием выводов.</w:t>
      </w:r>
    </w:p>
    <w:p w:rsidR="003C4241" w:rsidRDefault="003C424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03.07.2018 N 53-РЗ)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 w:rsidP="003C4241">
      <w:pPr>
        <w:pStyle w:val="ConsPlusTitle"/>
        <w:ind w:firstLine="540"/>
        <w:jc w:val="both"/>
        <w:outlineLvl w:val="0"/>
      </w:pPr>
      <w:r>
        <w:t>Статья 5. Экспертиза муниципальных нормативных правовых актов</w:t>
      </w:r>
    </w:p>
    <w:p w:rsidR="003C4241" w:rsidRDefault="003C4241" w:rsidP="003C4241">
      <w:pPr>
        <w:pStyle w:val="ConsPlusNormal"/>
        <w:ind w:firstLine="539"/>
        <w:jc w:val="both"/>
      </w:pPr>
      <w:r>
        <w:t>1.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C4241" w:rsidRDefault="003C4241" w:rsidP="003C4241">
      <w:pPr>
        <w:pStyle w:val="ConsPlusNormal"/>
        <w:ind w:firstLine="539"/>
        <w:jc w:val="both"/>
      </w:pPr>
      <w:r>
        <w:t xml:space="preserve">2. Экспертиза муниципальных нормативных правовых актов муниципальных образований Республики Северная Осетия-Алания, включенных в перечень, указанный в </w:t>
      </w:r>
      <w:hyperlink w:anchor="P74" w:history="1">
        <w:r>
          <w:rPr>
            <w:color w:val="0000FF"/>
          </w:rPr>
          <w:t>части 1 статьи 6</w:t>
        </w:r>
      </w:hyperlink>
      <w:r>
        <w:t xml:space="preserve"> Закона, проводится органами местного самоуправления соответствующих муниципальных образований.</w:t>
      </w:r>
    </w:p>
    <w:p w:rsidR="003C4241" w:rsidRDefault="003C4241" w:rsidP="003C4241">
      <w:pPr>
        <w:pStyle w:val="ConsPlusNormal"/>
        <w:ind w:firstLine="539"/>
        <w:jc w:val="both"/>
      </w:pPr>
      <w:r>
        <w:t>Экспертиза муниципальных нормативных правовых актов иных муниципальных образований может проводится по решению органов местного самоуправления соответствующих муниципальных образований.</w:t>
      </w:r>
    </w:p>
    <w:p w:rsidR="003C4241" w:rsidRDefault="003C4241" w:rsidP="003C4241">
      <w:pPr>
        <w:pStyle w:val="ConsPlusNormal"/>
        <w:ind w:firstLine="539"/>
        <w:jc w:val="both"/>
      </w:pPr>
      <w:r>
        <w:t>3.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 w:rsidR="003C4241" w:rsidRDefault="003C4241" w:rsidP="003C4241">
      <w:pPr>
        <w:pStyle w:val="ConsPlusNormal"/>
        <w:ind w:firstLine="539"/>
        <w:jc w:val="both"/>
      </w:pPr>
      <w:r>
        <w:t xml:space="preserve">4. По результатам проведения экспертизы муниципального нормативного правового акта уполномоченный орган местного самоуправления готовит соответствующее заключение об экспертизе муниципального нормативного правового акта, содержащее выводы о положениях,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 и местного </w:t>
      </w:r>
      <w:r>
        <w:lastRenderedPageBreak/>
        <w:t>бюджета муниципального образования, а также предложения о способах их устранения.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 w:rsidP="003C4241">
      <w:pPr>
        <w:pStyle w:val="ConsPlusTitle"/>
        <w:ind w:firstLine="540"/>
        <w:jc w:val="both"/>
        <w:outlineLvl w:val="0"/>
      </w:pPr>
      <w:r>
        <w:t>Статья 6. Перечень муниципальных образований, в которых осуществление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и критерии включения муниципальных районов и городского округа в указанный перечень</w:t>
      </w:r>
    </w:p>
    <w:p w:rsidR="003C4241" w:rsidRDefault="003C4241" w:rsidP="003C4241">
      <w:pPr>
        <w:pStyle w:val="ConsPlusNormal"/>
        <w:ind w:firstLine="540"/>
        <w:jc w:val="both"/>
      </w:pPr>
      <w:bookmarkStart w:id="1" w:name="P74"/>
      <w:bookmarkEnd w:id="1"/>
      <w:r>
        <w:t>1.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 в следующих муниципальных образованиях Республики Северная Осетия-Алания:</w:t>
      </w:r>
    </w:p>
    <w:p w:rsidR="003C4241" w:rsidRDefault="003C4241" w:rsidP="003C4241">
      <w:pPr>
        <w:pStyle w:val="ConsPlusNormal"/>
        <w:ind w:firstLine="539"/>
        <w:jc w:val="both"/>
      </w:pPr>
      <w:r>
        <w:t>городской округ г. Владикавказ;</w:t>
      </w:r>
    </w:p>
    <w:p w:rsidR="003C4241" w:rsidRDefault="003C4241" w:rsidP="003C4241">
      <w:pPr>
        <w:pStyle w:val="ConsPlusNormal"/>
        <w:ind w:firstLine="539"/>
        <w:jc w:val="both"/>
      </w:pPr>
      <w:r>
        <w:t>Алагирский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Ардонский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Дигорский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Ирафский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Кировский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Моздокский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Правобережный муниципальный район;</w:t>
      </w:r>
    </w:p>
    <w:p w:rsidR="003C4241" w:rsidRDefault="003C4241" w:rsidP="003C4241">
      <w:pPr>
        <w:pStyle w:val="ConsPlusNormal"/>
        <w:ind w:firstLine="539"/>
        <w:jc w:val="both"/>
      </w:pPr>
      <w:r>
        <w:t>Пригородный муниципальный район.</w:t>
      </w:r>
    </w:p>
    <w:p w:rsidR="003C4241" w:rsidRDefault="003C4241" w:rsidP="003C4241">
      <w:pPr>
        <w:pStyle w:val="ConsPlusNormal"/>
        <w:ind w:firstLine="540"/>
        <w:jc w:val="both"/>
      </w:pPr>
      <w:r>
        <w:t xml:space="preserve">2. Критериями включения муниципальных районов и городского округа в перечень, указанный в </w:t>
      </w:r>
      <w:hyperlink w:anchor="P74" w:history="1">
        <w:r>
          <w:rPr>
            <w:color w:val="0000FF"/>
          </w:rPr>
          <w:t>части 1</w:t>
        </w:r>
      </w:hyperlink>
      <w:r>
        <w:t xml:space="preserve"> настоящей статьи, в совокупности являются:</w:t>
      </w:r>
    </w:p>
    <w:p w:rsidR="003C4241" w:rsidRDefault="003C4241" w:rsidP="003C4241">
      <w:pPr>
        <w:pStyle w:val="ConsPlusNormal"/>
        <w:ind w:firstLine="540"/>
        <w:jc w:val="both"/>
      </w:pPr>
      <w:r>
        <w:t>1) количество субъектов малого и среднего предпринимательства, осуществляющих деятельность в границах территории муниципального образования, в расчете на 1 тысячу человек постоянного населения муниципального образования;</w:t>
      </w:r>
    </w:p>
    <w:p w:rsidR="003C4241" w:rsidRDefault="003C4241" w:rsidP="003C4241">
      <w:pPr>
        <w:pStyle w:val="ConsPlusNormal"/>
        <w:ind w:firstLine="540"/>
        <w:jc w:val="both"/>
      </w:pPr>
      <w:r>
        <w:t>2)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осуществляющих деятельность на территории муниципального района;</w:t>
      </w:r>
    </w:p>
    <w:p w:rsidR="003C4241" w:rsidRDefault="003C4241" w:rsidP="003C4241">
      <w:pPr>
        <w:pStyle w:val="ConsPlusNormal"/>
        <w:ind w:firstLine="540"/>
        <w:jc w:val="both"/>
      </w:pPr>
      <w:r>
        <w:t>3) число реализуемых и намечаемых к реализации в границах территории муниципального образования инвестиционных проектов;</w:t>
      </w:r>
    </w:p>
    <w:p w:rsidR="003C4241" w:rsidRDefault="003C4241" w:rsidP="003C4241">
      <w:pPr>
        <w:pStyle w:val="ConsPlusNormal"/>
        <w:ind w:firstLine="540"/>
        <w:jc w:val="both"/>
      </w:pPr>
      <w:r>
        <w:t>4) степень концентрации возложенных на муниципальные образования государственных полномочий.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Title"/>
        <w:ind w:firstLine="540"/>
        <w:jc w:val="both"/>
        <w:outlineLvl w:val="0"/>
      </w:pPr>
      <w:r>
        <w:t>Статья 7. Заключительные и переходные положения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Normal"/>
        <w:jc w:val="right"/>
      </w:pPr>
      <w:r>
        <w:t>Глава</w:t>
      </w:r>
    </w:p>
    <w:p w:rsidR="003C4241" w:rsidRDefault="003C4241">
      <w:pPr>
        <w:pStyle w:val="ConsPlusNormal"/>
        <w:jc w:val="right"/>
      </w:pPr>
      <w:r>
        <w:t>Республики Северная Осетия-Алания</w:t>
      </w:r>
    </w:p>
    <w:p w:rsidR="003C4241" w:rsidRDefault="003C4241">
      <w:pPr>
        <w:pStyle w:val="ConsPlusNormal"/>
        <w:jc w:val="right"/>
      </w:pPr>
      <w:r>
        <w:t>В.БИТАРОВ</w:t>
      </w:r>
    </w:p>
    <w:p w:rsidR="003C4241" w:rsidRDefault="003C4241">
      <w:pPr>
        <w:pStyle w:val="ConsPlusNormal"/>
      </w:pPr>
      <w:r>
        <w:t>г. Владикавказ</w:t>
      </w:r>
    </w:p>
    <w:p w:rsidR="003C4241" w:rsidRDefault="003C4241">
      <w:pPr>
        <w:pStyle w:val="ConsPlusNormal"/>
        <w:spacing w:before="220"/>
      </w:pPr>
      <w:r>
        <w:t>5 ноября 2016 года</w:t>
      </w:r>
    </w:p>
    <w:p w:rsidR="003C4241" w:rsidRDefault="003C4241">
      <w:pPr>
        <w:pStyle w:val="ConsPlusNormal"/>
        <w:spacing w:before="220"/>
      </w:pPr>
      <w:r>
        <w:t>N 58-РЗ</w:t>
      </w: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Normal"/>
        <w:ind w:firstLine="540"/>
        <w:jc w:val="both"/>
      </w:pPr>
    </w:p>
    <w:p w:rsidR="003C4241" w:rsidRDefault="003C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93E" w:rsidRDefault="002D593E"/>
    <w:sectPr w:rsidR="002D593E" w:rsidSect="003C4241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1"/>
    <w:rsid w:val="002D593E"/>
    <w:rsid w:val="003C4241"/>
    <w:rsid w:val="007D6B8C"/>
    <w:rsid w:val="009242D9"/>
    <w:rsid w:val="00B37F35"/>
    <w:rsid w:val="00D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A5FC9F9829A90EEAA9B9E3EFB361981F96DB28AE0687D9CFFFBA67F928C3317D5590CD1L6k6I" TargetMode="External"/><Relationship Id="rId13" Type="http://schemas.openxmlformats.org/officeDocument/2006/relationships/hyperlink" Target="consultantplus://offline/ref=C54A5FC9F9829A90EEAA859328976C1782F237BD83E46623C6A0A0FB289B8664509A004D9C6858ED3AC026L4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A5FC9F9829A90EEAA9B9E3EFB361981F96DB28AE0687D9CFFFBA67F928C3317D5590FD86551EFL3kCI" TargetMode="External"/><Relationship Id="rId12" Type="http://schemas.openxmlformats.org/officeDocument/2006/relationships/hyperlink" Target="consultantplus://offline/ref=C54A5FC9F9829A90EEAA859328976C1782F237BD83E46623C6A0A0FB289B8664509A004D9C6858ED3AC026L4k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FC9F9829A90EEAA859328976C1782F237BD83E46623C6A0A0FB289B8664509A004D9C6858ED3AC024L4kDI" TargetMode="External"/><Relationship Id="rId11" Type="http://schemas.openxmlformats.org/officeDocument/2006/relationships/hyperlink" Target="consultantplus://offline/ref=C54A5FC9F9829A90EEAA859328976C1782F237BD83E46623C6A0A0FB289B8664509A004D9C6858ED3AC024L4k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4A5FC9F9829A90EEAA9B9E3EFB361980F068B285E8687D9CFFFBA67F928C3317D5590FD8645AEDL3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A5FC9F9829A90EEAA9B9E3EFB361980F068B285E8687D9CFFFBA67F928C3317D5590FD8645BE4L3k2I" TargetMode="External"/><Relationship Id="rId14" Type="http://schemas.openxmlformats.org/officeDocument/2006/relationships/hyperlink" Target="consultantplus://offline/ref=C54A5FC9F9829A90EEAA859328976C1782F237BD83E46623C6A0A0FB289B8664509A004D9C6858ED3AC026L4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2018-10-19T08:42:00Z</cp:lastPrinted>
  <dcterms:created xsi:type="dcterms:W3CDTF">2018-11-23T08:03:00Z</dcterms:created>
  <dcterms:modified xsi:type="dcterms:W3CDTF">2018-11-23T08:03:00Z</dcterms:modified>
</cp:coreProperties>
</file>