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9" w:rsidRDefault="002C5229" w:rsidP="00B96F0C">
      <w:pPr>
        <w:pStyle w:val="a3"/>
        <w:widowControl w:val="0"/>
        <w:tabs>
          <w:tab w:val="left" w:pos="4860"/>
        </w:tabs>
        <w:rPr>
          <w:b/>
          <w:szCs w:val="28"/>
        </w:rPr>
      </w:pPr>
      <w:bookmarkStart w:id="0" w:name="_GoBack"/>
      <w:r w:rsidRPr="002C5229">
        <w:rPr>
          <w:b/>
          <w:szCs w:val="28"/>
        </w:rPr>
        <w:t>Итоги деятельности за январь-</w:t>
      </w:r>
      <w:r>
        <w:rPr>
          <w:b/>
          <w:szCs w:val="28"/>
        </w:rPr>
        <w:t>сентябр</w:t>
      </w:r>
      <w:r w:rsidRPr="002C5229">
        <w:rPr>
          <w:b/>
          <w:szCs w:val="28"/>
        </w:rPr>
        <w:t>ь 2015 года</w:t>
      </w:r>
    </w:p>
    <w:bookmarkEnd w:id="0"/>
    <w:p w:rsidR="002C5229" w:rsidRDefault="002C5229" w:rsidP="00B96F0C">
      <w:pPr>
        <w:pStyle w:val="a3"/>
        <w:widowControl w:val="0"/>
        <w:tabs>
          <w:tab w:val="left" w:pos="4860"/>
        </w:tabs>
        <w:rPr>
          <w:b/>
          <w:szCs w:val="28"/>
        </w:rPr>
      </w:pPr>
    </w:p>
    <w:p w:rsidR="00B96F0C" w:rsidRPr="004E1591" w:rsidRDefault="00B96F0C" w:rsidP="00B96F0C">
      <w:pPr>
        <w:pStyle w:val="a3"/>
        <w:widowControl w:val="0"/>
        <w:tabs>
          <w:tab w:val="left" w:pos="4860"/>
        </w:tabs>
        <w:rPr>
          <w:b/>
          <w:szCs w:val="28"/>
        </w:rPr>
      </w:pPr>
      <w:r w:rsidRPr="004E1591">
        <w:rPr>
          <w:b/>
          <w:szCs w:val="28"/>
        </w:rPr>
        <w:t>Промышленность</w:t>
      </w:r>
    </w:p>
    <w:p w:rsidR="00B96F0C" w:rsidRPr="004E1591" w:rsidRDefault="00B96F0C" w:rsidP="00B96F0C">
      <w:pPr>
        <w:pStyle w:val="a3"/>
        <w:widowControl w:val="0"/>
        <w:tabs>
          <w:tab w:val="left" w:pos="4860"/>
        </w:tabs>
        <w:rPr>
          <w:b/>
          <w:szCs w:val="28"/>
        </w:rPr>
      </w:pPr>
    </w:p>
    <w:p w:rsidR="00B96F0C" w:rsidRPr="004E1591" w:rsidRDefault="00B96F0C" w:rsidP="00B96F0C">
      <w:pPr>
        <w:widowControl w:val="0"/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1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ндекс промышленного производства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экономической деятельности за 9 месяцев 2015 года составил 86,9%, в том числе по добыче полезных ископаемых – 114,8%, по обрабатывающим производствам – 84,5%, по производству и распределению </w:t>
      </w:r>
      <w:r w:rsidRPr="004E1591">
        <w:rPr>
          <w:rFonts w:ascii="Times New Roman" w:hAnsi="Times New Roman" w:cs="Times New Roman"/>
          <w:sz w:val="28"/>
          <w:szCs w:val="28"/>
        </w:rPr>
        <w:t xml:space="preserve">электроэнергии, газа и воды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92,6%.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591">
        <w:rPr>
          <w:rFonts w:ascii="Times New Roman" w:hAnsi="Times New Roman" w:cs="Times New Roman"/>
          <w:sz w:val="28"/>
          <w:szCs w:val="28"/>
        </w:rPr>
        <w:t>Заниженными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темпами в отчетном периоде в обрабатывающих отраслях развивались предприятия производства пищевых продуктов, включая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(78,2% по сравнению с аналогичным периодом прошлого года), целлюлозно-бумажного производства, издательской и полиграфической деятельности (67,3%),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резиновых и пластмассовых изделий (62,4%), прочих неметаллических минеральных продуктов (98,7%), электрооборудования, электронного и оптического оборудования (65,1%), транспортных средств и оборудования (58,2%), прочего производства (89,1%).</w:t>
      </w:r>
      <w:proofErr w:type="gram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алкогольного производства темпы производства водочных изделий снижены из-за необходимости получения федеральной специальной акцизной марки, требующей предоплату или банковские гарантии.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индекса в производстве и распределении электр</w:t>
      </w:r>
      <w:proofErr w:type="gram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7,4% по сравнению с прошлым годом объясняется: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сезонно-заниженным объемом потребления тепловой энергии;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уменьшением расчетного показателя численности населения, пользующегося тепловой энергией, за счет установления индивидуальных приборов учета.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Рост уровня добычи полезных ископаемых обеспечен в основном 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 xml:space="preserve">» за счет увеличения объема заказов и продаж доломита.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отгруженной промышленной продукции за 9 месяцев 2015 года достиг </w:t>
      </w:r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625,1 </w:t>
      </w:r>
      <w:proofErr w:type="gramStart"/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>млн</w:t>
      </w:r>
      <w:proofErr w:type="gramEnd"/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рублей и составил 124,7% к показателю за 2014 год, в том числе по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экономической деятельности:</w:t>
      </w:r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 добыче полезных ископаемых – 221,9 млн рублей (107,3%), по обрабатывающим производствам – 16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454,5 млн рублей (137,1%), </w:t>
      </w:r>
      <w:r w:rsidRPr="004E1591">
        <w:rPr>
          <w:rFonts w:ascii="Times New Roman" w:hAnsi="Times New Roman" w:cs="Times New Roman"/>
          <w:sz w:val="28"/>
          <w:szCs w:val="28"/>
        </w:rPr>
        <w:t xml:space="preserve">по производству и распределению электроэнергии, газа и воды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  <w:r w:rsidRPr="004E15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948,7 млн рублей (91,2%).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обрабатывающих производств в общем объеме отгруженной промышленной продукции остается доминирующим и составляет 79,8% (для сравнения: в 2014 году – 72,6%), производства и распределения электроэнергии – 19,1% (26,2%), добычи полезных ископаемых – 1,1% (1,3%). При этом в структуре объема отгруженной продукции обрабатывающих производств за отчетный период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производства пищевых продуктов, включая напитки, составил 46,3%, металлургического производства – 34,3%. </w:t>
      </w:r>
    </w:p>
    <w:p w:rsidR="00B96F0C" w:rsidRPr="004E1591" w:rsidRDefault="00B96F0C" w:rsidP="00B96F0C">
      <w:pPr>
        <w:widowControl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За 9 месяцев 2015 года увеличили объемы отгруженной продукции 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Пневмооборудование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(180,7%)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«Луч» (174,9%),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ООО «ВТЦ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Баспик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(166,8%),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«Разряд» (162,4%),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ОАО «Гран» (156,5%), ОАО «Магнит» </w:t>
      </w:r>
      <w:r w:rsidRPr="004E1591">
        <w:rPr>
          <w:rFonts w:ascii="Times New Roman" w:hAnsi="Times New Roman" w:cs="Times New Roman"/>
          <w:sz w:val="28"/>
          <w:szCs w:val="28"/>
        </w:rPr>
        <w:lastRenderedPageBreak/>
        <w:t>(155,2%),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«Победит» (143,2%),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(136,3%),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(132,8%),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ООО «Моздокская картонная фабрика» (120,5%)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59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Рокос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(102,6%),</w:t>
      </w:r>
      <w:r w:rsidRPr="00BE6209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«АЗС» (101,7%)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0C" w:rsidRPr="004E1591" w:rsidRDefault="00B96F0C" w:rsidP="00B96F0C">
      <w:pPr>
        <w:widowControl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591">
        <w:rPr>
          <w:rFonts w:ascii="Times New Roman" w:hAnsi="Times New Roman" w:cs="Times New Roman"/>
          <w:sz w:val="28"/>
          <w:szCs w:val="28"/>
        </w:rPr>
        <w:t>Снижены объемы отгрузки у таких предприятий, как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«Моздокские узоры» (99,1%),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«Кетон» (96,2%),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«Радуга» (96,2%),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«Моздокская швейная фабрика» (95,4%), ОАО «73 ЦЗПУ» (94,9%), 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Электронкомплекс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(94,7%)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591">
        <w:rPr>
          <w:rFonts w:ascii="Times New Roman" w:hAnsi="Times New Roman" w:cs="Times New Roman"/>
          <w:sz w:val="28"/>
          <w:szCs w:val="28"/>
        </w:rPr>
        <w:t>ОАО «Бином» (91,2%),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Электрок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1591">
        <w:rPr>
          <w:rFonts w:ascii="Times New Roman" w:hAnsi="Times New Roman" w:cs="Times New Roman"/>
          <w:sz w:val="28"/>
          <w:szCs w:val="28"/>
        </w:rPr>
        <w:t>нтактор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(91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E1591">
        <w:rPr>
          <w:rFonts w:ascii="Times New Roman" w:hAnsi="Times New Roman" w:cs="Times New Roman"/>
          <w:sz w:val="28"/>
          <w:szCs w:val="28"/>
        </w:rPr>
        <w:t>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Терско-Кумская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 xml:space="preserve"> ПМК (90,1%),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«Крон» (89,7%),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ООО УПП ВОС (86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E1591">
        <w:rPr>
          <w:rFonts w:ascii="Times New Roman" w:hAnsi="Times New Roman" w:cs="Times New Roman"/>
          <w:sz w:val="28"/>
          <w:szCs w:val="28"/>
        </w:rPr>
        <w:t>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Иристонстекло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>» (69,5%),</w:t>
      </w:r>
      <w:r w:rsidRPr="003E0B60"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ОАО «Янтарь» (61,9%), </w:t>
      </w:r>
      <w:r>
        <w:rPr>
          <w:rFonts w:ascii="Times New Roman" w:hAnsi="Times New Roman" w:cs="Times New Roman"/>
          <w:sz w:val="28"/>
          <w:szCs w:val="28"/>
        </w:rPr>
        <w:t xml:space="preserve">ОАО «ВВРЗ» (60,2%), </w:t>
      </w:r>
      <w:r w:rsidRPr="004E15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Ирафская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 xml:space="preserve"> швейная фабрика» (59,8%), 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Бесланский</w:t>
      </w:r>
      <w:proofErr w:type="spellEnd"/>
      <w:proofErr w:type="gramEnd"/>
      <w:r w:rsidRPr="004E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щебзавод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 xml:space="preserve"> – филиал ОАО «ПНК» (18,8%)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0C" w:rsidRPr="004E1591" w:rsidRDefault="00B96F0C" w:rsidP="00B96F0C">
      <w:pPr>
        <w:widowControl w:val="0"/>
        <w:spacing w:after="0" w:line="240" w:lineRule="auto"/>
        <w:ind w:right="-285" w:firstLine="567"/>
        <w:jc w:val="both"/>
        <w:rPr>
          <w:sz w:val="32"/>
          <w:szCs w:val="32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производства обусловлено сокращением оборонных и государственных заказов на предприятиях оборонно-промышленного комплекса, использованием на большинстве предприятий устаревших материалоемких и </w:t>
      </w:r>
      <w:proofErr w:type="spell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энергозатратных</w:t>
      </w:r>
      <w:proofErr w:type="spell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способствующих росту себестоимости конечной продукции. Кроме того, факторами, сдерживающими рост производства, явились повышение тарифов на электроэнергию и транспортные услуги, последствия экономического кризиса.</w:t>
      </w:r>
    </w:p>
    <w:p w:rsidR="002C5229" w:rsidRDefault="002C5229" w:rsidP="00B96F0C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6F0C" w:rsidRPr="004E1591" w:rsidRDefault="00B96F0C" w:rsidP="00B96F0C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591">
        <w:rPr>
          <w:rFonts w:ascii="Times New Roman" w:hAnsi="Times New Roman" w:cs="Times New Roman"/>
          <w:color w:val="auto"/>
          <w:sz w:val="28"/>
          <w:szCs w:val="28"/>
        </w:rPr>
        <w:t>Транспорт</w:t>
      </w:r>
    </w:p>
    <w:p w:rsidR="00B96F0C" w:rsidRPr="004E1591" w:rsidRDefault="00B96F0C" w:rsidP="00B96F0C">
      <w:pPr>
        <w:widowControl w:val="0"/>
        <w:spacing w:after="0" w:line="240" w:lineRule="auto"/>
      </w:pPr>
    </w:p>
    <w:p w:rsidR="00B96F0C" w:rsidRPr="004E1591" w:rsidRDefault="00B96F0C" w:rsidP="00B96F0C">
      <w:pPr>
        <w:pStyle w:val="2"/>
        <w:widowControl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4E1591">
        <w:rPr>
          <w:sz w:val="28"/>
          <w:szCs w:val="28"/>
          <w:lang w:val="ru-RU" w:eastAsia="ru-RU"/>
        </w:rPr>
        <w:t>За 9 месяцев</w:t>
      </w:r>
      <w:r w:rsidRPr="004E1591">
        <w:rPr>
          <w:sz w:val="28"/>
          <w:szCs w:val="28"/>
          <w:lang w:eastAsia="ru-RU"/>
        </w:rPr>
        <w:t xml:space="preserve"> 2015 года</w:t>
      </w:r>
      <w:r w:rsidRPr="004E1591">
        <w:rPr>
          <w:sz w:val="28"/>
          <w:szCs w:val="28"/>
          <w:lang w:val="ru-RU" w:eastAsia="ru-RU"/>
        </w:rPr>
        <w:t xml:space="preserve"> значительно снизились по сравнению с </w:t>
      </w:r>
      <w:r w:rsidRPr="004E1591">
        <w:rPr>
          <w:sz w:val="28"/>
          <w:szCs w:val="28"/>
          <w:lang w:eastAsia="ru-RU"/>
        </w:rPr>
        <w:t>аналогичн</w:t>
      </w:r>
      <w:r>
        <w:rPr>
          <w:sz w:val="28"/>
          <w:szCs w:val="28"/>
          <w:lang w:val="ru-RU" w:eastAsia="ru-RU"/>
        </w:rPr>
        <w:t>ым</w:t>
      </w:r>
      <w:r w:rsidRPr="004E1591">
        <w:rPr>
          <w:sz w:val="28"/>
          <w:szCs w:val="28"/>
          <w:lang w:eastAsia="ru-RU"/>
        </w:rPr>
        <w:t xml:space="preserve"> период</w:t>
      </w:r>
      <w:r w:rsidRPr="004E1591">
        <w:rPr>
          <w:sz w:val="28"/>
          <w:szCs w:val="28"/>
          <w:lang w:val="ru-RU" w:eastAsia="ru-RU"/>
        </w:rPr>
        <w:t>ом</w:t>
      </w:r>
      <w:r w:rsidRPr="004E1591">
        <w:rPr>
          <w:sz w:val="28"/>
          <w:szCs w:val="28"/>
          <w:lang w:eastAsia="ru-RU"/>
        </w:rPr>
        <w:t xml:space="preserve"> прошлого</w:t>
      </w:r>
      <w:r>
        <w:rPr>
          <w:sz w:val="28"/>
          <w:szCs w:val="28"/>
          <w:lang w:eastAsia="ru-RU"/>
        </w:rPr>
        <w:t xml:space="preserve"> </w:t>
      </w:r>
      <w:r w:rsidRPr="004E1591">
        <w:rPr>
          <w:sz w:val="28"/>
          <w:szCs w:val="28"/>
          <w:lang w:eastAsia="ru-RU"/>
        </w:rPr>
        <w:t>года</w:t>
      </w:r>
      <w:r w:rsidRPr="004E1591">
        <w:rPr>
          <w:sz w:val="28"/>
          <w:szCs w:val="28"/>
          <w:lang w:val="ru-RU" w:eastAsia="ru-RU"/>
        </w:rPr>
        <w:t xml:space="preserve"> показатели работы республиканского автотранспорта: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автомобильным транспортом организаций всех видов экономической деятельности – на 34,9%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526,8 тыс. тонн;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пассажиров – на 0,2% (45 </w:t>
      </w:r>
      <w:proofErr w:type="gram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пассажирооборот – на 5,7% (423 </w:t>
      </w:r>
      <w:proofErr w:type="gram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пасс-км);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автопредприятиями – на 3,5% (144,3 </w:t>
      </w:r>
      <w:proofErr w:type="gram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пасс-км).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автопарк базируется на пяти автотранспортных предприятиях, осуществляющих </w:t>
      </w:r>
      <w:proofErr w:type="spell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proofErr w:type="spell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Ардонское</w:t>
      </w:r>
      <w:proofErr w:type="spell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АТП», ГУ «АТП «АК – 1691», ГУ «АТП «Октябрьское», ОАО «АК – 1210», ГУ «АТП г. Дигора».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Владикавказе осуществляют 10 привлеченных (частных) юридических лиц и индивидуальных предпринимателей,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ВМУП «</w:t>
      </w:r>
      <w:proofErr w:type="spellStart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ВладАвтоТранс</w:t>
      </w:r>
      <w:proofErr w:type="spellEnd"/>
      <w:r w:rsidRPr="004E15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43 автобусным маршрутам.</w:t>
      </w:r>
    </w:p>
    <w:p w:rsidR="00B96F0C" w:rsidRPr="004E1591" w:rsidRDefault="00B96F0C" w:rsidP="00B96F0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Пассажирским автотранспортом предприятий и привлеченных физических лиц в отчетном году перевезено 45 </w:t>
      </w:r>
      <w:proofErr w:type="gramStart"/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пассажиров (98% к показателю 2014 года), в том числе автопредприятиями – 6,8 млн пассажиров (97,5%).</w:t>
      </w:r>
    </w:p>
    <w:p w:rsidR="00B96F0C" w:rsidRPr="004E1591" w:rsidRDefault="00B96F0C" w:rsidP="00B96F0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К основным проблемам развития грузового и пассажирского транспорта в республике относятся:</w:t>
      </w:r>
    </w:p>
    <w:p w:rsidR="00B96F0C" w:rsidRPr="004E1591" w:rsidRDefault="00B96F0C" w:rsidP="00B96F0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 xml:space="preserve">высокий уровень износа подвижного состава, выработавшего свой ресурс и не отвечающего современным требованиям по уровню комфорта и </w:t>
      </w:r>
      <w:r w:rsidRPr="004E1591">
        <w:rPr>
          <w:rFonts w:ascii="Times New Roman" w:hAnsi="Times New Roman" w:cs="Times New Roman"/>
          <w:sz w:val="28"/>
          <w:szCs w:val="28"/>
        </w:rPr>
        <w:lastRenderedPageBreak/>
        <w:t>экологической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0C" w:rsidRPr="004E1591" w:rsidRDefault="00B96F0C" w:rsidP="00B96F0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неравномерность развития пассажирской транспортной сети (перераспределение пассажиров с общественного транспорта на личный транспорт, парк которого в г. Владикавказ только в 2014 году вырос на 11 тыс. автомобилей);</w:t>
      </w:r>
    </w:p>
    <w:p w:rsidR="00B96F0C" w:rsidRPr="004E1591" w:rsidRDefault="00B96F0C" w:rsidP="00B96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низкий уровень обеспеченности населения республики пассажирским автомобильным транспортом, качественно осуществляющим перевозки пассажиров.</w:t>
      </w:r>
    </w:p>
    <w:p w:rsidR="00B96F0C" w:rsidRPr="004E1591" w:rsidRDefault="00B96F0C" w:rsidP="00B96F0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>Объем выручки автотранспортных предприятий республики за отчетный период сократился по отношению к выручке за аналогичный период 2014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12,3%, убытки составили 7,2 </w:t>
      </w:r>
      <w:proofErr w:type="gramStart"/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</w:t>
      </w:r>
    </w:p>
    <w:p w:rsidR="00B96F0C" w:rsidRPr="004E1591" w:rsidRDefault="00B96F0C" w:rsidP="00B96F0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591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Причинами ухудшения финансового состояния явились недофинансирование из республиканского бюджета субсидий на погашение убытков, понесенных предприятиями при перевозке пассажиров по убыточным межмуниципальным маршрутам.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Кроме автомобильного транспорта по г. Владикавказ перевозки пассажиров осуществляет МУП «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ВладЭлектроТранс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 xml:space="preserve">» по 6 трамвайным маршрутам.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Инвентарный парк пассажирских трамвайных вагонов на 1 октября 2015 года составляет 32 единицы, ежедневный выпуск вагонов на линию на плановом уровне – 22-24 единицы.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С начала текущего трамвайный парк уменьшился с 38 до 32 вагонов в связи с тем, что к эксплуатации допущены только технически исправные вагоны. Одновременно коэффициент использования подвижного состава увеличился на 16,9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%.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2014 года скорость движения трамваев выросла на 2,1%, снижено количество сходов вагонов с рельсов и возвратов вагонов с линии по технической неисправности на 4%.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Снижение показателей в сравнении с соответствующим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2014 года (выпуск на линию вагонов на 2,2%, продолжительность работы подвижного состава на линии с 11,9 часов до 11,3 часа, регулярность движения на 0,8%) связано с износом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подвижного состава и контактной сети, недостатком средств на содержание и ремонт трамвайного хозяйства.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 xml:space="preserve">Снижение доходов (на 0,8%) при увеличении объёма </w:t>
      </w:r>
      <w:proofErr w:type="spellStart"/>
      <w:r w:rsidRPr="004E1591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4E1591">
        <w:rPr>
          <w:rFonts w:ascii="Times New Roman" w:hAnsi="Times New Roman" w:cs="Times New Roman"/>
          <w:sz w:val="28"/>
          <w:szCs w:val="28"/>
        </w:rPr>
        <w:t xml:space="preserve"> (на 2,7%) связано с несвоевременным перечислением бюджетных средств на компенсацию перевозок льготной категории граждан. За 9 месяцев 2015 года выделено 7,5 тыс. рублей в виде компенсации за перевозку льготной категории граждан при запланированном показателе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10,1 тыс. рублей.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На покрытие убытков от эксплуатации электротранспорта выделено из муниципального бюджета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Владикавказ 43,3 </w:t>
      </w:r>
      <w:proofErr w:type="gramStart"/>
      <w:r w:rsidRPr="004E159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1591">
        <w:rPr>
          <w:rFonts w:ascii="Times New Roman" w:hAnsi="Times New Roman" w:cs="Times New Roman"/>
          <w:sz w:val="28"/>
          <w:szCs w:val="28"/>
        </w:rPr>
        <w:t xml:space="preserve"> рублей при запланированном показателе 50,5 млн. рублей.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sz w:val="27"/>
          <w:szCs w:val="27"/>
        </w:rPr>
      </w:pPr>
      <w:r w:rsidRPr="004E1591">
        <w:rPr>
          <w:rFonts w:ascii="Times New Roman" w:hAnsi="Times New Roman" w:cs="Times New Roman"/>
          <w:sz w:val="28"/>
          <w:szCs w:val="28"/>
        </w:rPr>
        <w:t xml:space="preserve">Кроме того с 1 января 2014 года ежегодно направляется около 6 </w:t>
      </w:r>
      <w:proofErr w:type="gramStart"/>
      <w:r w:rsidRPr="004E159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1591">
        <w:rPr>
          <w:rFonts w:ascii="Times New Roman" w:hAnsi="Times New Roman" w:cs="Times New Roman"/>
          <w:sz w:val="28"/>
          <w:szCs w:val="28"/>
        </w:rPr>
        <w:t xml:space="preserve"> рублей из городского бюджета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Владикавказ на предоставление права бесплатного проезда в городском электрическом транспорте учащимся образовательных учреждений на территории г. Владикавказа.</w:t>
      </w:r>
      <w:r w:rsidRPr="004E1591">
        <w:rPr>
          <w:sz w:val="27"/>
          <w:szCs w:val="27"/>
        </w:rPr>
        <w:t xml:space="preserve"> </w:t>
      </w:r>
    </w:p>
    <w:p w:rsidR="00B96F0C" w:rsidRPr="004E1591" w:rsidRDefault="00B96F0C" w:rsidP="00B96F0C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B96F0C" w:rsidRPr="004E1591" w:rsidRDefault="00B96F0C" w:rsidP="00B96F0C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4E1591">
        <w:rPr>
          <w:b/>
          <w:bCs/>
          <w:sz w:val="28"/>
          <w:szCs w:val="28"/>
        </w:rPr>
        <w:t>Связь</w:t>
      </w:r>
    </w:p>
    <w:p w:rsidR="00B96F0C" w:rsidRPr="004E1591" w:rsidRDefault="00B96F0C" w:rsidP="00B96F0C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96% республиканской территории (в том числе труднодоступные горные районы), сигналом 3</w:t>
      </w:r>
      <w:r w:rsidRPr="004E159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E1591">
        <w:rPr>
          <w:rFonts w:ascii="Times New Roman" w:hAnsi="Times New Roman" w:cs="Times New Roman"/>
          <w:sz w:val="28"/>
          <w:szCs w:val="28"/>
        </w:rPr>
        <w:t xml:space="preserve"> – порядка 75% территории республики и сетью </w:t>
      </w:r>
      <w:r w:rsidRPr="004E1591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4E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591">
        <w:rPr>
          <w:rFonts w:ascii="Times New Roman" w:hAnsi="Times New Roman" w:cs="Times New Roman"/>
          <w:sz w:val="28"/>
          <w:szCs w:val="28"/>
        </w:rPr>
        <w:t>90% г. Владикавказа,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в том числе ПАО «Мегафон» приступило к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услуг связи в </w:t>
      </w:r>
      <w:r w:rsidRPr="004E1591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4E1591">
        <w:rPr>
          <w:rFonts w:ascii="Times New Roman" w:hAnsi="Times New Roman" w:cs="Times New Roman"/>
          <w:sz w:val="28"/>
          <w:szCs w:val="28"/>
        </w:rPr>
        <w:t xml:space="preserve"> диапазоне на территории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0C" w:rsidRPr="004E1591" w:rsidRDefault="00B96F0C" w:rsidP="00B96F0C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4E1591">
        <w:rPr>
          <w:sz w:val="28"/>
          <w:szCs w:val="28"/>
        </w:rPr>
        <w:t>Общий объем оказанных всеми организациями услуг связи за</w:t>
      </w:r>
      <w:r>
        <w:rPr>
          <w:sz w:val="28"/>
          <w:szCs w:val="28"/>
        </w:rPr>
        <w:t xml:space="preserve"> </w:t>
      </w:r>
      <w:r w:rsidRPr="004E159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4E1591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 w:rsidRPr="004E1591">
        <w:rPr>
          <w:sz w:val="28"/>
          <w:szCs w:val="28"/>
        </w:rPr>
        <w:t>составил 4</w:t>
      </w:r>
      <w:r>
        <w:rPr>
          <w:sz w:val="28"/>
          <w:szCs w:val="28"/>
        </w:rPr>
        <w:t> </w:t>
      </w:r>
      <w:r w:rsidRPr="004E1591">
        <w:rPr>
          <w:sz w:val="28"/>
          <w:szCs w:val="28"/>
        </w:rPr>
        <w:t xml:space="preserve">036,8 </w:t>
      </w:r>
      <w:proofErr w:type="gramStart"/>
      <w:r w:rsidRPr="004E1591">
        <w:rPr>
          <w:sz w:val="28"/>
          <w:szCs w:val="28"/>
        </w:rPr>
        <w:t>млн</w:t>
      </w:r>
      <w:proofErr w:type="gramEnd"/>
      <w:r w:rsidRPr="004E1591">
        <w:rPr>
          <w:sz w:val="28"/>
          <w:szCs w:val="28"/>
        </w:rPr>
        <w:t xml:space="preserve"> рублей (101,7% к уровню прошлого года). Снижены по сравнению с отчетным периодом прошлого года</w:t>
      </w:r>
      <w:r>
        <w:rPr>
          <w:sz w:val="28"/>
          <w:szCs w:val="28"/>
        </w:rPr>
        <w:t xml:space="preserve"> </w:t>
      </w:r>
      <w:r w:rsidRPr="004E1591">
        <w:rPr>
          <w:sz w:val="28"/>
          <w:szCs w:val="28"/>
        </w:rPr>
        <w:t xml:space="preserve">показатели Северо-Осетинского филиала ПАО «Ростелеком»: </w:t>
      </w:r>
    </w:p>
    <w:p w:rsidR="00B96F0C" w:rsidRPr="004E1591" w:rsidRDefault="00B96F0C" w:rsidP="00B96F0C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4E1591">
        <w:rPr>
          <w:sz w:val="28"/>
          <w:szCs w:val="28"/>
        </w:rPr>
        <w:t>по выручке от реализации товаров и</w:t>
      </w:r>
      <w:r>
        <w:rPr>
          <w:sz w:val="28"/>
          <w:szCs w:val="28"/>
        </w:rPr>
        <w:t xml:space="preserve"> </w:t>
      </w:r>
      <w:r w:rsidRPr="004E1591">
        <w:rPr>
          <w:sz w:val="28"/>
          <w:szCs w:val="28"/>
        </w:rPr>
        <w:t xml:space="preserve">услуг – на 5,6% (869,9 </w:t>
      </w:r>
      <w:proofErr w:type="gramStart"/>
      <w:r w:rsidRPr="004E1591">
        <w:rPr>
          <w:sz w:val="28"/>
          <w:szCs w:val="28"/>
        </w:rPr>
        <w:t>млн</w:t>
      </w:r>
      <w:proofErr w:type="gramEnd"/>
      <w:r w:rsidRPr="004E1591">
        <w:rPr>
          <w:sz w:val="28"/>
          <w:szCs w:val="28"/>
        </w:rPr>
        <w:t xml:space="preserve"> рублей); </w:t>
      </w:r>
    </w:p>
    <w:p w:rsidR="00B96F0C" w:rsidRPr="004E1591" w:rsidRDefault="00B96F0C" w:rsidP="00B96F0C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4E1591">
        <w:rPr>
          <w:sz w:val="28"/>
          <w:szCs w:val="28"/>
        </w:rPr>
        <w:t xml:space="preserve">по предоставлению услуг связи на – 5,5% (824,5 </w:t>
      </w:r>
      <w:proofErr w:type="gramStart"/>
      <w:r w:rsidRPr="004E1591">
        <w:rPr>
          <w:sz w:val="28"/>
          <w:szCs w:val="28"/>
        </w:rPr>
        <w:t>млн</w:t>
      </w:r>
      <w:proofErr w:type="gramEnd"/>
      <w:r w:rsidRPr="004E1591">
        <w:rPr>
          <w:sz w:val="28"/>
          <w:szCs w:val="28"/>
        </w:rPr>
        <w:t xml:space="preserve"> рублей); </w:t>
      </w:r>
    </w:p>
    <w:p w:rsidR="00B96F0C" w:rsidRPr="004E1591" w:rsidRDefault="00B96F0C" w:rsidP="00B96F0C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4E1591">
        <w:rPr>
          <w:sz w:val="28"/>
          <w:szCs w:val="28"/>
        </w:rPr>
        <w:t xml:space="preserve">в том числе, по объему услуг связи, предоставленных населению, – на 5,6% (513,3 </w:t>
      </w:r>
      <w:proofErr w:type="gramStart"/>
      <w:r w:rsidRPr="004E1591">
        <w:rPr>
          <w:sz w:val="28"/>
          <w:szCs w:val="28"/>
        </w:rPr>
        <w:t>млн</w:t>
      </w:r>
      <w:proofErr w:type="gramEnd"/>
      <w:r w:rsidRPr="004E1591">
        <w:rPr>
          <w:sz w:val="28"/>
          <w:szCs w:val="28"/>
        </w:rPr>
        <w:t xml:space="preserve"> рублей);</w:t>
      </w:r>
    </w:p>
    <w:p w:rsidR="00B96F0C" w:rsidRPr="004E1591" w:rsidRDefault="00B96F0C" w:rsidP="00B96F0C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4E1591">
        <w:rPr>
          <w:sz w:val="28"/>
          <w:szCs w:val="28"/>
        </w:rPr>
        <w:t xml:space="preserve">по доходам от услуг «Интернет» – на 1,2% (270,9 </w:t>
      </w:r>
      <w:proofErr w:type="gramStart"/>
      <w:r w:rsidRPr="004E1591">
        <w:rPr>
          <w:sz w:val="28"/>
          <w:szCs w:val="28"/>
        </w:rPr>
        <w:t>млн</w:t>
      </w:r>
      <w:proofErr w:type="gramEnd"/>
      <w:r w:rsidRPr="004E1591">
        <w:rPr>
          <w:sz w:val="28"/>
          <w:szCs w:val="28"/>
        </w:rPr>
        <w:t xml:space="preserve"> рублей).</w:t>
      </w:r>
    </w:p>
    <w:p w:rsidR="00B96F0C" w:rsidRPr="004E1591" w:rsidRDefault="00B96F0C" w:rsidP="00B96F0C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b/>
          <w:sz w:val="28"/>
          <w:szCs w:val="28"/>
        </w:rPr>
      </w:pPr>
      <w:r w:rsidRPr="004E1591">
        <w:rPr>
          <w:sz w:val="28"/>
          <w:szCs w:val="28"/>
        </w:rPr>
        <w:t>Тенденция к снижению объема услуг связи ОАО «Ростелеком» объясняется в основном отказом определенной части населения от стационарной телефонной связи и переходом на подвижную связь. Всего за 9 месяцев 2015 года Северо–Осетинским филиалом ПАО «Ростелеком» установлено по республике 3</w:t>
      </w:r>
      <w:r>
        <w:rPr>
          <w:sz w:val="28"/>
          <w:szCs w:val="28"/>
        </w:rPr>
        <w:t> </w:t>
      </w:r>
      <w:r w:rsidRPr="004E1591">
        <w:rPr>
          <w:sz w:val="28"/>
          <w:szCs w:val="28"/>
        </w:rPr>
        <w:t>218 телефонов.</w:t>
      </w:r>
      <w:r w:rsidRPr="004E1591">
        <w:rPr>
          <w:b/>
          <w:sz w:val="28"/>
          <w:szCs w:val="28"/>
        </w:rPr>
        <w:t xml:space="preserve"> 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На территории республики действуют четыре оператора подвижной сотовой связи с клиентской базой свыше 860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591">
        <w:rPr>
          <w:rFonts w:ascii="Times New Roman" w:hAnsi="Times New Roman" w:cs="Times New Roman"/>
          <w:sz w:val="28"/>
          <w:szCs w:val="28"/>
        </w:rPr>
        <w:t xml:space="preserve"> абонентов. Число абонентов фиксированной связи составляет около 182 тыс</w:t>
      </w:r>
      <w:r>
        <w:rPr>
          <w:rFonts w:ascii="Times New Roman" w:hAnsi="Times New Roman" w:cs="Times New Roman"/>
          <w:sz w:val="28"/>
          <w:szCs w:val="28"/>
        </w:rPr>
        <w:t>. абонентов</w:t>
      </w:r>
      <w:r w:rsidRPr="004E1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F0C" w:rsidRPr="004E1591" w:rsidRDefault="00B96F0C" w:rsidP="00B96F0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>Количество пользователей широкополосного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150 тыс. единиц, общее же количество пользователей сети Интернет составляет 410 тыс. единиц. Число пользователей цифрового телевидения (исключая пользователей общедоступного цифрового телевидения) составляет около 7 тыс. единиц. Развивается сектор услуг по обеспечению высокоскоростного доступа к сети Интернет.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портов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sz w:val="28"/>
          <w:szCs w:val="28"/>
          <w:lang w:val="en-US"/>
        </w:rPr>
        <w:t>FTTb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(«оптика в дом») Северо-Осетинского филиала ПАО «Ростелеком» выросло до 56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1591">
        <w:rPr>
          <w:rFonts w:ascii="Times New Roman" w:hAnsi="Times New Roman" w:cs="Times New Roman"/>
          <w:sz w:val="28"/>
          <w:szCs w:val="28"/>
        </w:rPr>
        <w:t>120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и увеличилась монтированная емкость узлов широкополосного доступа до 59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591">
        <w:rPr>
          <w:rFonts w:ascii="Times New Roman" w:hAnsi="Times New Roman" w:cs="Times New Roman"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1591">
        <w:rPr>
          <w:rFonts w:ascii="Times New Roman" w:hAnsi="Times New Roman" w:cs="Times New Roman"/>
          <w:sz w:val="28"/>
          <w:szCs w:val="28"/>
        </w:rPr>
        <w:t>.</w:t>
      </w:r>
    </w:p>
    <w:p w:rsidR="00B96F0C" w:rsidRPr="004E1591" w:rsidRDefault="00B96F0C" w:rsidP="00B96F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91">
        <w:rPr>
          <w:rFonts w:ascii="Times New Roman" w:hAnsi="Times New Roman" w:cs="Times New Roman"/>
          <w:sz w:val="28"/>
          <w:szCs w:val="28"/>
        </w:rPr>
        <w:t xml:space="preserve">Услугами почтовой связи охвачена вся территория республики. </w:t>
      </w:r>
      <w:proofErr w:type="gramStart"/>
      <w:r w:rsidRPr="004E1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>настоящее время в составе Северо-Осетинского филиала ФГУП «Почта Рос</w:t>
      </w:r>
      <w:r w:rsidR="002C5229">
        <w:rPr>
          <w:rFonts w:ascii="Times New Roman" w:hAnsi="Times New Roman" w:cs="Times New Roman"/>
          <w:sz w:val="28"/>
          <w:szCs w:val="28"/>
        </w:rPr>
        <w:t>сии» 5 почтамтов, из которых 3 –</w:t>
      </w:r>
      <w:r w:rsidRPr="004E1591">
        <w:rPr>
          <w:rFonts w:ascii="Times New Roman" w:hAnsi="Times New Roman" w:cs="Times New Roman"/>
          <w:sz w:val="28"/>
          <w:szCs w:val="28"/>
        </w:rPr>
        <w:t xml:space="preserve"> межрайонные, 171 отделение почтовой связи.</w:t>
      </w:r>
      <w:proofErr w:type="gramEnd"/>
      <w:r w:rsidRPr="004E1591">
        <w:rPr>
          <w:rFonts w:ascii="Times New Roman" w:hAnsi="Times New Roman" w:cs="Times New Roman"/>
          <w:sz w:val="28"/>
          <w:szCs w:val="28"/>
        </w:rPr>
        <w:t xml:space="preserve"> Объем услуг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упал с 63 </w:t>
      </w:r>
      <w:proofErr w:type="gramStart"/>
      <w:r w:rsidRPr="004E159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1591">
        <w:rPr>
          <w:rFonts w:ascii="Times New Roman" w:hAnsi="Times New Roman" w:cs="Times New Roman"/>
          <w:sz w:val="28"/>
          <w:szCs w:val="28"/>
        </w:rPr>
        <w:t xml:space="preserve"> рублей в прошлом году до 51 млн рублей на конец отчетного периода (на 80%).</w:t>
      </w:r>
    </w:p>
    <w:p w:rsidR="00B96F0C" w:rsidRPr="004E1591" w:rsidRDefault="00B96F0C" w:rsidP="00B96F0C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E1591">
        <w:rPr>
          <w:rFonts w:ascii="Times New Roman" w:hAnsi="Times New Roman" w:cs="Times New Roman"/>
          <w:sz w:val="28"/>
          <w:szCs w:val="28"/>
        </w:rPr>
        <w:t>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sz w:val="28"/>
          <w:szCs w:val="28"/>
        </w:rPr>
        <w:t xml:space="preserve">140 телевизионных и </w:t>
      </w:r>
      <w:r w:rsidRPr="004E1591">
        <w:rPr>
          <w:rFonts w:ascii="Times New Roman" w:hAnsi="Times New Roman" w:cs="Times New Roman"/>
          <w:sz w:val="28"/>
          <w:szCs w:val="28"/>
        </w:rPr>
        <w:lastRenderedPageBreak/>
        <w:t xml:space="preserve">радиовещательных приемопередающих станций, в том числе 62 спутниковыми станциями приема цифровых сигналов. В эксплуатационно-техническом обслуживании находится 40 антенно-мачтовых сооружений, размещенных на объектах филиала в горной части республики и 11 антенно-мачтовых сооружений в равнинной части. </w:t>
      </w:r>
      <w:r w:rsidRPr="004E15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Покрытие сигналом телерадиовещания в равнинной части республики составляет: цифровым сигналом </w:t>
      </w:r>
      <w:r w:rsidR="002C52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4E15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98% и аналоговым </w:t>
      </w:r>
      <w:r w:rsidR="002C52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4E15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99,5%. Покрытие сигналом телерадиовещания в горной части республики составляет цифровым сигналом 98,5% и аналоговым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4E15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99%.</w:t>
      </w:r>
    </w:p>
    <w:p w:rsidR="00AC2AEA" w:rsidRDefault="00AC2AEA"/>
    <w:sectPr w:rsidR="00AC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0C"/>
    <w:rsid w:val="002C5229"/>
    <w:rsid w:val="00AC2AEA"/>
    <w:rsid w:val="00B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0C"/>
  </w:style>
  <w:style w:type="paragraph" w:styleId="3">
    <w:name w:val="heading 3"/>
    <w:basedOn w:val="a"/>
    <w:next w:val="a"/>
    <w:link w:val="30"/>
    <w:uiPriority w:val="9"/>
    <w:unhideWhenUsed/>
    <w:qFormat/>
    <w:rsid w:val="00B96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6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6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F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B96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6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9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B96F0C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0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0C"/>
  </w:style>
  <w:style w:type="paragraph" w:styleId="3">
    <w:name w:val="heading 3"/>
    <w:basedOn w:val="a"/>
    <w:next w:val="a"/>
    <w:link w:val="30"/>
    <w:uiPriority w:val="9"/>
    <w:unhideWhenUsed/>
    <w:qFormat/>
    <w:rsid w:val="00B96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6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6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F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B96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6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9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B96F0C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2015-12-08T09:06:00Z</dcterms:created>
  <dcterms:modified xsi:type="dcterms:W3CDTF">2015-12-08T09:21:00Z</dcterms:modified>
</cp:coreProperties>
</file>