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34" w:rsidRPr="00BA17D1" w:rsidRDefault="00DD1B34" w:rsidP="00645BBA">
      <w:pPr>
        <w:pStyle w:val="a9"/>
        <w:widowControl w:val="0"/>
        <w:tabs>
          <w:tab w:val="left" w:pos="4860"/>
        </w:tabs>
        <w:rPr>
          <w:b/>
          <w:szCs w:val="28"/>
        </w:rPr>
      </w:pPr>
      <w:r w:rsidRPr="00BA17D1">
        <w:rPr>
          <w:b/>
          <w:szCs w:val="28"/>
        </w:rPr>
        <w:t>Промышленность</w:t>
      </w:r>
    </w:p>
    <w:p w:rsidR="001C734D" w:rsidRPr="00BA17D1" w:rsidRDefault="001C734D" w:rsidP="00645BBA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25" w:rsidRPr="00BA17D1" w:rsidRDefault="001E2925" w:rsidP="00645BBA">
      <w:pPr>
        <w:pStyle w:val="af0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BA17D1">
        <w:rPr>
          <w:sz w:val="28"/>
          <w:szCs w:val="28"/>
        </w:rPr>
        <w:t>И</w:t>
      </w:r>
      <w:r w:rsidRPr="00BA17D1">
        <w:rPr>
          <w:bCs/>
          <w:sz w:val="28"/>
          <w:szCs w:val="28"/>
        </w:rPr>
        <w:t>ндекс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промышленного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производства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всем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видам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экономической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деятельности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за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январь-июнь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2013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года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составил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117,0%,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том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числе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добыче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полезных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ископаемых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–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92,6%,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обрабатывающим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производствам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–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118,8%,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производству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распределению</w:t>
      </w:r>
      <w:r w:rsidR="00412D43" w:rsidRPr="00BA17D1">
        <w:rPr>
          <w:sz w:val="28"/>
          <w:szCs w:val="28"/>
        </w:rPr>
        <w:t xml:space="preserve"> </w:t>
      </w:r>
      <w:proofErr w:type="spellStart"/>
      <w:r w:rsidRPr="00BA17D1">
        <w:rPr>
          <w:sz w:val="28"/>
          <w:szCs w:val="28"/>
        </w:rPr>
        <w:t>электро</w:t>
      </w:r>
      <w:proofErr w:type="spellEnd"/>
      <w:r w:rsidR="00412D43" w:rsidRPr="00BA17D1">
        <w:rPr>
          <w:sz w:val="28"/>
          <w:szCs w:val="28"/>
        </w:rPr>
        <w:t xml:space="preserve"> </w:t>
      </w:r>
      <w:r w:rsidR="006657B0" w:rsidRPr="00BA17D1">
        <w:rPr>
          <w:sz w:val="28"/>
          <w:szCs w:val="28"/>
        </w:rPr>
        <w:t>–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proofErr w:type="spellStart"/>
      <w:r w:rsidRPr="00BA17D1">
        <w:rPr>
          <w:sz w:val="28"/>
          <w:szCs w:val="28"/>
        </w:rPr>
        <w:t>теплоэнергии</w:t>
      </w:r>
      <w:proofErr w:type="spellEnd"/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–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114,5%.</w:t>
      </w:r>
    </w:p>
    <w:p w:rsidR="001E2925" w:rsidRPr="00BA17D1" w:rsidRDefault="001E2925" w:rsidP="00645BBA">
      <w:pPr>
        <w:pStyle w:val="af0"/>
        <w:tabs>
          <w:tab w:val="left" w:pos="1620"/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BA17D1">
        <w:rPr>
          <w:sz w:val="28"/>
          <w:szCs w:val="28"/>
        </w:rPr>
        <w:t>Положительная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динамика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индекса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промышленного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производства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обрабатывающих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отраслях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была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обеспечена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за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счет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увеличения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уровню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аналогичного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периода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2012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года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производства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свинца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11,9%,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вольфрама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необработанного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3,7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раза,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спирта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этилового</w:t>
      </w:r>
      <w:r w:rsidR="005F28FC" w:rsidRPr="005F28FC">
        <w:rPr>
          <w:sz w:val="28"/>
          <w:szCs w:val="28"/>
          <w:lang w:val="ru-RU"/>
        </w:rPr>
        <w:t xml:space="preserve"> </w:t>
      </w:r>
      <w:r w:rsidR="005F28FC">
        <w:rPr>
          <w:sz w:val="28"/>
          <w:szCs w:val="28"/>
          <w:lang w:val="ru-RU"/>
        </w:rPr>
        <w:t xml:space="preserve">ректификованного </w:t>
      </w:r>
      <w:r w:rsidRPr="00BA17D1">
        <w:rPr>
          <w:sz w:val="28"/>
          <w:szCs w:val="28"/>
        </w:rPr>
        <w:t>из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пищевого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сырья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1,9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раза,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пленки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полимерной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17,0%,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устройств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коммутации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защиты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электрических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цепей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12,2%,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резисторов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1,4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раза,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кирпича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1,6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раза,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мебели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1,5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раза,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конструкций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изделий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сборных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железобетонных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1,5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раза,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электроэнергии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16,5%,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смесей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асфальтобетонных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5,6%.</w:t>
      </w:r>
    </w:p>
    <w:p w:rsidR="001E2925" w:rsidRPr="00BA17D1" w:rsidRDefault="001E2925" w:rsidP="00645BBA">
      <w:pPr>
        <w:pStyle w:val="af0"/>
        <w:tabs>
          <w:tab w:val="left" w:pos="1620"/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BA17D1">
        <w:rPr>
          <w:sz w:val="28"/>
          <w:szCs w:val="28"/>
        </w:rPr>
        <w:t>После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длительного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простоя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возобновили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свою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деятельность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предприятия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алкогольной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отрасли</w:t>
      </w:r>
      <w:r w:rsidR="00D246EC">
        <w:rPr>
          <w:sz w:val="28"/>
          <w:szCs w:val="28"/>
          <w:lang w:val="ru-RU"/>
        </w:rPr>
        <w:t>. З</w:t>
      </w:r>
      <w:r w:rsidRPr="00BA17D1">
        <w:rPr>
          <w:sz w:val="28"/>
          <w:szCs w:val="28"/>
        </w:rPr>
        <w:t>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отчетный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период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ими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произведено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442,9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тыс.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д</w:t>
      </w:r>
      <w:r w:rsidRPr="00BA17D1">
        <w:rPr>
          <w:sz w:val="28"/>
          <w:szCs w:val="28"/>
          <w:lang w:val="ru-RU"/>
        </w:rPr>
        <w:t>а</w:t>
      </w:r>
      <w:r w:rsidRPr="00BA17D1">
        <w:rPr>
          <w:sz w:val="28"/>
          <w:szCs w:val="28"/>
        </w:rPr>
        <w:t>л</w:t>
      </w:r>
      <w:proofErr w:type="gramStart"/>
      <w:r w:rsidRPr="00BA17D1">
        <w:rPr>
          <w:sz w:val="28"/>
          <w:szCs w:val="28"/>
        </w:rPr>
        <w:t>.</w:t>
      </w:r>
      <w:proofErr w:type="gramEnd"/>
      <w:r w:rsidR="00412D43" w:rsidRPr="00BA17D1">
        <w:rPr>
          <w:sz w:val="28"/>
          <w:szCs w:val="28"/>
        </w:rPr>
        <w:t xml:space="preserve"> </w:t>
      </w:r>
      <w:proofErr w:type="gramStart"/>
      <w:r w:rsidRPr="00BA17D1">
        <w:rPr>
          <w:sz w:val="28"/>
          <w:szCs w:val="28"/>
        </w:rPr>
        <w:t>в</w:t>
      </w:r>
      <w:proofErr w:type="gramEnd"/>
      <w:r w:rsidRPr="00BA17D1">
        <w:rPr>
          <w:sz w:val="28"/>
          <w:szCs w:val="28"/>
        </w:rPr>
        <w:t>одки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ликеро-водочных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изделий</w:t>
      </w:r>
      <w:r w:rsidR="00D246EC">
        <w:rPr>
          <w:sz w:val="28"/>
          <w:szCs w:val="28"/>
          <w:lang w:val="ru-RU"/>
        </w:rPr>
        <w:t xml:space="preserve">, что более чем в </w:t>
      </w:r>
      <w:r w:rsidRPr="00BA17D1">
        <w:rPr>
          <w:sz w:val="28"/>
          <w:szCs w:val="28"/>
        </w:rPr>
        <w:t>2</w:t>
      </w:r>
      <w:r w:rsidR="00D246EC">
        <w:rPr>
          <w:sz w:val="28"/>
          <w:szCs w:val="28"/>
          <w:lang w:val="ru-RU"/>
        </w:rPr>
        <w:t>0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раз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больше,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чем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прошлом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периоде.</w:t>
      </w:r>
    </w:p>
    <w:p w:rsidR="001E2925" w:rsidRPr="00BA17D1" w:rsidRDefault="001E2925" w:rsidP="00645BBA">
      <w:pPr>
        <w:pStyle w:val="af0"/>
        <w:tabs>
          <w:tab w:val="left" w:pos="1620"/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электрогенерирующих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предприятиях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республики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="005F28FC">
        <w:rPr>
          <w:sz w:val="28"/>
          <w:szCs w:val="28"/>
          <w:lang w:val="en-US"/>
        </w:rPr>
        <w:t>I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полугодии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текущего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года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выработка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электроэнергии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увеличилась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16,5%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составила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163,2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млн</w:t>
      </w:r>
      <w:r w:rsidR="00412D43" w:rsidRPr="00BA17D1">
        <w:rPr>
          <w:sz w:val="28"/>
          <w:szCs w:val="28"/>
          <w:lang w:val="ru-RU"/>
        </w:rPr>
        <w:t xml:space="preserve"> </w:t>
      </w:r>
      <w:proofErr w:type="spellStart"/>
      <w:r w:rsidRPr="00BA17D1">
        <w:rPr>
          <w:sz w:val="28"/>
          <w:szCs w:val="28"/>
        </w:rPr>
        <w:t>к</w:t>
      </w:r>
      <w:r w:rsidR="005F28FC">
        <w:rPr>
          <w:sz w:val="28"/>
          <w:szCs w:val="28"/>
          <w:lang w:val="ru-RU"/>
        </w:rPr>
        <w:t>В</w:t>
      </w:r>
      <w:proofErr w:type="spellEnd"/>
      <w:r w:rsidRPr="00BA17D1">
        <w:rPr>
          <w:sz w:val="28"/>
          <w:szCs w:val="28"/>
        </w:rPr>
        <w:t>т</w:t>
      </w:r>
      <w:r w:rsidR="00412D43" w:rsidRPr="00BA17D1">
        <w:rPr>
          <w:sz w:val="28"/>
          <w:szCs w:val="28"/>
          <w:lang w:val="ru-RU"/>
        </w:rPr>
        <w:t xml:space="preserve"> </w:t>
      </w:r>
      <w:r w:rsidRPr="00BA17D1">
        <w:rPr>
          <w:sz w:val="28"/>
          <w:szCs w:val="28"/>
        </w:rPr>
        <w:t>ч,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что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связано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вводом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эксплуатацию</w:t>
      </w:r>
      <w:r w:rsidR="00412D43" w:rsidRPr="00BA17D1">
        <w:rPr>
          <w:sz w:val="28"/>
          <w:szCs w:val="28"/>
        </w:rPr>
        <w:t xml:space="preserve"> </w:t>
      </w:r>
      <w:proofErr w:type="spellStart"/>
      <w:r w:rsidRPr="00BA17D1">
        <w:rPr>
          <w:sz w:val="28"/>
          <w:szCs w:val="28"/>
        </w:rPr>
        <w:t>Дзауджикауской</w:t>
      </w:r>
      <w:proofErr w:type="spellEnd"/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proofErr w:type="spellStart"/>
      <w:r w:rsidRPr="00BA17D1">
        <w:rPr>
          <w:sz w:val="28"/>
          <w:szCs w:val="28"/>
        </w:rPr>
        <w:t>Эзминской</w:t>
      </w:r>
      <w:proofErr w:type="spellEnd"/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ГЭС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после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капитального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ремонта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январе-марте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2012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года.</w:t>
      </w:r>
    </w:p>
    <w:p w:rsidR="001E2925" w:rsidRPr="00BA17D1" w:rsidRDefault="001E2925" w:rsidP="00645BBA">
      <w:pPr>
        <w:pStyle w:val="af0"/>
        <w:tabs>
          <w:tab w:val="left" w:pos="1620"/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BA17D1">
        <w:rPr>
          <w:sz w:val="28"/>
          <w:szCs w:val="28"/>
        </w:rPr>
        <w:t>Вместе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тем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снижение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показателей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сравнению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аналогичным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периодом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прошлого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года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допущено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производстве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цинка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26,7%,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вольфрама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металлического</w:t>
      </w:r>
      <w:r w:rsidR="00412D43" w:rsidRPr="00BA17D1">
        <w:rPr>
          <w:sz w:val="28"/>
          <w:szCs w:val="28"/>
        </w:rPr>
        <w:t xml:space="preserve"> </w:t>
      </w:r>
      <w:r w:rsidR="006153FC">
        <w:rPr>
          <w:sz w:val="28"/>
          <w:szCs w:val="28"/>
          <w:lang w:val="ru-RU"/>
        </w:rPr>
        <w:t xml:space="preserve">–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91,4%,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молибдена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металлического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–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26,3%,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кадмия</w:t>
      </w:r>
      <w:r w:rsidR="00412D43" w:rsidRPr="00BA17D1">
        <w:rPr>
          <w:sz w:val="28"/>
          <w:szCs w:val="28"/>
        </w:rPr>
        <w:t xml:space="preserve"> </w:t>
      </w:r>
      <w:r w:rsidR="006153FC">
        <w:rPr>
          <w:sz w:val="28"/>
          <w:szCs w:val="28"/>
          <w:lang w:val="ru-RU"/>
        </w:rPr>
        <w:t xml:space="preserve">–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13,3%,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спирта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этилового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денатурированного</w:t>
      </w:r>
      <w:r w:rsidR="00412D43" w:rsidRPr="00BA17D1">
        <w:rPr>
          <w:sz w:val="28"/>
          <w:szCs w:val="28"/>
        </w:rPr>
        <w:t xml:space="preserve"> </w:t>
      </w:r>
      <w:r w:rsidR="006153FC">
        <w:rPr>
          <w:sz w:val="28"/>
          <w:szCs w:val="28"/>
          <w:lang w:val="ru-RU"/>
        </w:rPr>
        <w:t xml:space="preserve">–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32,9%,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пива</w:t>
      </w:r>
      <w:r w:rsidR="00412D43" w:rsidRPr="00BA17D1">
        <w:rPr>
          <w:sz w:val="28"/>
          <w:szCs w:val="28"/>
        </w:rPr>
        <w:t xml:space="preserve"> </w:t>
      </w:r>
      <w:r w:rsidR="006153FC">
        <w:rPr>
          <w:sz w:val="28"/>
          <w:szCs w:val="28"/>
          <w:lang w:val="ru-RU"/>
        </w:rPr>
        <w:t xml:space="preserve">–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38,9%,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белья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постельного</w:t>
      </w:r>
      <w:r w:rsidR="00412D43" w:rsidRPr="00BA17D1">
        <w:rPr>
          <w:sz w:val="28"/>
          <w:szCs w:val="28"/>
        </w:rPr>
        <w:t xml:space="preserve"> </w:t>
      </w:r>
      <w:r w:rsidR="006153FC">
        <w:rPr>
          <w:sz w:val="28"/>
          <w:szCs w:val="28"/>
          <w:lang w:val="ru-RU"/>
        </w:rPr>
        <w:t xml:space="preserve">–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15,9%,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полотна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тюлевого</w:t>
      </w:r>
      <w:r w:rsidR="00412D43" w:rsidRPr="00BA17D1">
        <w:rPr>
          <w:sz w:val="28"/>
          <w:szCs w:val="28"/>
        </w:rPr>
        <w:t xml:space="preserve"> </w:t>
      </w:r>
      <w:r w:rsidR="006153FC">
        <w:rPr>
          <w:sz w:val="28"/>
          <w:szCs w:val="28"/>
          <w:lang w:val="ru-RU"/>
        </w:rPr>
        <w:t xml:space="preserve">–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14,5%,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шпона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строганого</w:t>
      </w:r>
      <w:r w:rsidR="00412D43" w:rsidRPr="00BA17D1">
        <w:rPr>
          <w:sz w:val="28"/>
          <w:szCs w:val="28"/>
        </w:rPr>
        <w:t xml:space="preserve"> </w:t>
      </w:r>
      <w:r w:rsidR="006153FC">
        <w:rPr>
          <w:sz w:val="28"/>
          <w:szCs w:val="28"/>
          <w:lang w:val="ru-RU"/>
        </w:rPr>
        <w:t xml:space="preserve">–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27,7%,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кислоты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серной</w:t>
      </w:r>
      <w:r w:rsidR="00412D43" w:rsidRPr="00BA17D1">
        <w:rPr>
          <w:sz w:val="28"/>
          <w:szCs w:val="28"/>
        </w:rPr>
        <w:t xml:space="preserve"> </w:t>
      </w:r>
      <w:r w:rsidR="006153FC">
        <w:rPr>
          <w:sz w:val="28"/>
          <w:szCs w:val="28"/>
          <w:lang w:val="ru-RU"/>
        </w:rPr>
        <w:t xml:space="preserve">–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27,5%,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бутылки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для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напитков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пищевых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продуктов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–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13,1%.</w:t>
      </w:r>
    </w:p>
    <w:p w:rsidR="001E2925" w:rsidRPr="00BA17D1" w:rsidRDefault="001E2925" w:rsidP="00645BBA">
      <w:pPr>
        <w:pStyle w:val="af0"/>
        <w:widowControl w:val="0"/>
        <w:tabs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BA17D1">
        <w:rPr>
          <w:sz w:val="28"/>
          <w:szCs w:val="28"/>
        </w:rPr>
        <w:t>Снижение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добычи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полезных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ископаемых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обусловлено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уменьшением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объема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заказов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продаж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другие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регионы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России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нерудных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строительных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материалов,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также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снижением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количества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функционирующих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предприятий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отрасли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связи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отзывом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лицензи</w:t>
      </w:r>
      <w:r w:rsidR="006153FC">
        <w:rPr>
          <w:sz w:val="28"/>
          <w:szCs w:val="28"/>
          <w:lang w:val="ru-RU"/>
        </w:rPr>
        <w:t>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причине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невыполнения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условий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лицензионного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соглашения.</w:t>
      </w:r>
      <w:r w:rsidR="00412D43" w:rsidRPr="00BA17D1">
        <w:rPr>
          <w:sz w:val="28"/>
          <w:szCs w:val="28"/>
        </w:rPr>
        <w:t xml:space="preserve"> </w:t>
      </w:r>
    </w:p>
    <w:p w:rsidR="001E2925" w:rsidRPr="00BA17D1" w:rsidRDefault="001E2925" w:rsidP="00645B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Объём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отгруженной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промышленной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продукции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6153F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полугодии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2013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года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составил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10</w:t>
      </w:r>
      <w:r w:rsidR="006153FC">
        <w:rPr>
          <w:rFonts w:ascii="Times New Roman" w:hAnsi="Times New Roman" w:cs="Times New Roman"/>
          <w:sz w:val="28"/>
          <w:szCs w:val="28"/>
        </w:rPr>
        <w:t> </w:t>
      </w:r>
      <w:r w:rsidRPr="00BA17D1">
        <w:rPr>
          <w:rFonts w:ascii="Times New Roman" w:hAnsi="Times New Roman" w:cs="Times New Roman"/>
          <w:sz w:val="28"/>
          <w:szCs w:val="28"/>
        </w:rPr>
        <w:t>093,7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7D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руб</w:t>
      </w:r>
      <w:r w:rsidR="006153FC">
        <w:rPr>
          <w:rFonts w:ascii="Times New Roman" w:hAnsi="Times New Roman" w:cs="Times New Roman"/>
          <w:sz w:val="28"/>
          <w:szCs w:val="28"/>
        </w:rPr>
        <w:t>лей</w:t>
      </w:r>
      <w:r w:rsidRPr="00BA17D1">
        <w:rPr>
          <w:rFonts w:ascii="Times New Roman" w:hAnsi="Times New Roman" w:cs="Times New Roman"/>
          <w:sz w:val="28"/>
          <w:szCs w:val="28"/>
        </w:rPr>
        <w:t>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что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периоду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прошлого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года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составляет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114,4%,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числе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видам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экономической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деятельности: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bCs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bCs/>
          <w:sz w:val="28"/>
          <w:szCs w:val="28"/>
        </w:rPr>
        <w:t>добыче</w:t>
      </w:r>
      <w:r w:rsidR="00412D43" w:rsidRPr="00BA1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bCs/>
          <w:sz w:val="28"/>
          <w:szCs w:val="28"/>
        </w:rPr>
        <w:t>полезных</w:t>
      </w:r>
      <w:r w:rsidR="00412D43" w:rsidRPr="00BA1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bCs/>
          <w:sz w:val="28"/>
          <w:szCs w:val="28"/>
        </w:rPr>
        <w:t>ископаемых</w:t>
      </w:r>
      <w:r w:rsidR="00412D43" w:rsidRPr="00BA1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bCs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158,4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млн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руб</w:t>
      </w:r>
      <w:r w:rsidR="006153FC">
        <w:rPr>
          <w:rFonts w:ascii="Times New Roman" w:hAnsi="Times New Roman" w:cs="Times New Roman"/>
          <w:sz w:val="28"/>
          <w:szCs w:val="28"/>
        </w:rPr>
        <w:t>лей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(108,6%),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обрабатывающим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производствам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6</w:t>
      </w:r>
      <w:r w:rsidR="006153FC">
        <w:rPr>
          <w:rFonts w:ascii="Times New Roman" w:hAnsi="Times New Roman" w:cs="Times New Roman"/>
          <w:sz w:val="28"/>
          <w:szCs w:val="28"/>
        </w:rPr>
        <w:t> </w:t>
      </w:r>
      <w:r w:rsidRPr="00BA17D1">
        <w:rPr>
          <w:rFonts w:ascii="Times New Roman" w:hAnsi="Times New Roman" w:cs="Times New Roman"/>
          <w:sz w:val="28"/>
          <w:szCs w:val="28"/>
        </w:rPr>
        <w:t>812,5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млн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руб</w:t>
      </w:r>
      <w:r w:rsidR="006153FC">
        <w:rPr>
          <w:rFonts w:ascii="Times New Roman" w:hAnsi="Times New Roman" w:cs="Times New Roman"/>
          <w:sz w:val="28"/>
          <w:szCs w:val="28"/>
        </w:rPr>
        <w:t>лей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(116,3%),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производству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распределению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электро-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7D1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3</w:t>
      </w:r>
      <w:r w:rsidR="006153FC">
        <w:rPr>
          <w:rFonts w:ascii="Times New Roman" w:hAnsi="Times New Roman" w:cs="Times New Roman"/>
          <w:sz w:val="28"/>
          <w:szCs w:val="28"/>
        </w:rPr>
        <w:t> </w:t>
      </w:r>
      <w:r w:rsidRPr="00BA17D1">
        <w:rPr>
          <w:rFonts w:ascii="Times New Roman" w:hAnsi="Times New Roman" w:cs="Times New Roman"/>
          <w:sz w:val="28"/>
          <w:szCs w:val="28"/>
        </w:rPr>
        <w:t>122,8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млн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руб</w:t>
      </w:r>
      <w:r w:rsidR="006153FC">
        <w:rPr>
          <w:rFonts w:ascii="Times New Roman" w:hAnsi="Times New Roman" w:cs="Times New Roman"/>
          <w:sz w:val="28"/>
          <w:szCs w:val="28"/>
        </w:rPr>
        <w:t>лей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(110,9%).</w:t>
      </w:r>
    </w:p>
    <w:p w:rsidR="001E2925" w:rsidRPr="00BA17D1" w:rsidRDefault="001E2925" w:rsidP="00645BBA">
      <w:pPr>
        <w:pStyle w:val="11"/>
        <w:widowControl w:val="0"/>
        <w:rPr>
          <w:szCs w:val="28"/>
        </w:rPr>
      </w:pPr>
      <w:r w:rsidRPr="00BA17D1">
        <w:rPr>
          <w:szCs w:val="28"/>
        </w:rPr>
        <w:t>Удельный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вес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обрабатывающих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производств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общем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объеме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отгруженной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промышленной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продукции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составил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67,5%,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производства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распределения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электроэнергии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–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30,9%,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добычи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полезных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ископаемых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–</w:t>
      </w:r>
      <w:r w:rsidR="00412D43" w:rsidRPr="00BA17D1">
        <w:rPr>
          <w:szCs w:val="28"/>
        </w:rPr>
        <w:t xml:space="preserve"> </w:t>
      </w:r>
      <w:r w:rsidR="006657B0" w:rsidRPr="00BA17D1">
        <w:rPr>
          <w:szCs w:val="28"/>
        </w:rPr>
        <w:lastRenderedPageBreak/>
        <w:t>1,6%.</w:t>
      </w:r>
      <w:r w:rsidR="00412D43" w:rsidRPr="00BA17D1">
        <w:rPr>
          <w:szCs w:val="28"/>
        </w:rPr>
        <w:t xml:space="preserve"> </w:t>
      </w:r>
    </w:p>
    <w:p w:rsidR="001E2925" w:rsidRPr="00BA17D1" w:rsidRDefault="001E2925" w:rsidP="00645BBA">
      <w:pPr>
        <w:pStyle w:val="11"/>
        <w:widowControl w:val="0"/>
        <w:rPr>
          <w:szCs w:val="28"/>
        </w:rPr>
      </w:pPr>
      <w:r w:rsidRPr="00BA17D1">
        <w:rPr>
          <w:szCs w:val="28"/>
        </w:rPr>
        <w:t>Рост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объемов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отгруженной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продукции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видам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деятельности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обеспечен: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производстве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пищевых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продуктов,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включая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напитки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–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3</w:t>
      </w:r>
      <w:r w:rsidR="006153FC">
        <w:rPr>
          <w:szCs w:val="28"/>
        </w:rPr>
        <w:t> </w:t>
      </w:r>
      <w:r w:rsidRPr="00BA17D1">
        <w:rPr>
          <w:szCs w:val="28"/>
        </w:rPr>
        <w:t>285,4</w:t>
      </w:r>
      <w:r w:rsidR="00412D43" w:rsidRPr="00BA17D1">
        <w:rPr>
          <w:szCs w:val="28"/>
        </w:rPr>
        <w:t xml:space="preserve"> </w:t>
      </w:r>
      <w:proofErr w:type="gramStart"/>
      <w:r w:rsidRPr="00BA17D1">
        <w:rPr>
          <w:szCs w:val="28"/>
        </w:rPr>
        <w:t>млн</w:t>
      </w:r>
      <w:proofErr w:type="gramEnd"/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руб</w:t>
      </w:r>
      <w:r w:rsidR="006153FC">
        <w:rPr>
          <w:szCs w:val="28"/>
        </w:rPr>
        <w:t>лей</w:t>
      </w:r>
      <w:r w:rsidRPr="00BA17D1">
        <w:rPr>
          <w:szCs w:val="28"/>
        </w:rPr>
        <w:t>,</w:t>
      </w:r>
      <w:r w:rsidR="006153FC">
        <w:rPr>
          <w:szCs w:val="28"/>
        </w:rPr>
        <w:t xml:space="preserve"> </w:t>
      </w:r>
      <w:r w:rsidRPr="00BA17D1">
        <w:rPr>
          <w:szCs w:val="28"/>
        </w:rPr>
        <w:t>что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к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аналогичному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периоду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прошлого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года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составило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177,5%,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производстве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одежды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–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4,01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млн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руб</w:t>
      </w:r>
      <w:r w:rsidR="006153FC">
        <w:rPr>
          <w:szCs w:val="28"/>
        </w:rPr>
        <w:t>лей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(146,0%),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производство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изделий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из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бетона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-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0,7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млн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руб</w:t>
      </w:r>
      <w:r w:rsidR="006153FC">
        <w:rPr>
          <w:szCs w:val="28"/>
        </w:rPr>
        <w:t>лей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(210,3%),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производстве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машин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оборудования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–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12,6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млн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руб</w:t>
      </w:r>
      <w:r w:rsidR="006153FC">
        <w:rPr>
          <w:szCs w:val="28"/>
        </w:rPr>
        <w:t>лей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(116,8%),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производстве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электрической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распределительной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аппаратуры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–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58,6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млн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руб</w:t>
      </w:r>
      <w:r w:rsidR="006153FC">
        <w:rPr>
          <w:szCs w:val="28"/>
        </w:rPr>
        <w:t>лей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(109,1%),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производстве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измерительных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приборов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–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46,9</w:t>
      </w:r>
      <w:r w:rsidR="00412D43" w:rsidRPr="00BA17D1">
        <w:rPr>
          <w:szCs w:val="28"/>
        </w:rPr>
        <w:t xml:space="preserve"> </w:t>
      </w:r>
      <w:proofErr w:type="gramStart"/>
      <w:r w:rsidRPr="00BA17D1">
        <w:rPr>
          <w:szCs w:val="28"/>
        </w:rPr>
        <w:t>млн</w:t>
      </w:r>
      <w:proofErr w:type="gramEnd"/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руб</w:t>
      </w:r>
      <w:r w:rsidR="006153FC">
        <w:rPr>
          <w:szCs w:val="28"/>
        </w:rPr>
        <w:t>лей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(103,5%),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производстве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мебели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–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233,8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млн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руб</w:t>
      </w:r>
      <w:r w:rsidR="006153FC">
        <w:rPr>
          <w:szCs w:val="28"/>
        </w:rPr>
        <w:t>лей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(135,6%),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производстве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распределении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электроэне</w:t>
      </w:r>
      <w:r w:rsidR="006153FC">
        <w:rPr>
          <w:szCs w:val="28"/>
        </w:rPr>
        <w:t>р</w:t>
      </w:r>
      <w:r w:rsidRPr="00BA17D1">
        <w:rPr>
          <w:szCs w:val="28"/>
        </w:rPr>
        <w:t>гии,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газа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воды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–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3</w:t>
      </w:r>
      <w:r w:rsidR="006153FC">
        <w:rPr>
          <w:szCs w:val="28"/>
        </w:rPr>
        <w:t> </w:t>
      </w:r>
      <w:r w:rsidRPr="00BA17D1">
        <w:rPr>
          <w:szCs w:val="28"/>
        </w:rPr>
        <w:t>122,8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млн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руб</w:t>
      </w:r>
      <w:r w:rsidR="006153FC">
        <w:rPr>
          <w:szCs w:val="28"/>
        </w:rPr>
        <w:t>лей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(110,9%),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добыче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полезных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ископаемых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–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158,4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млн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руб</w:t>
      </w:r>
      <w:r w:rsidR="006153FC">
        <w:rPr>
          <w:szCs w:val="28"/>
        </w:rPr>
        <w:t>лей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(108,6%).</w:t>
      </w:r>
    </w:p>
    <w:p w:rsidR="001E2925" w:rsidRPr="00BA17D1" w:rsidRDefault="001E2925" w:rsidP="00645BBA">
      <w:pPr>
        <w:pStyle w:val="11"/>
        <w:widowControl w:val="0"/>
        <w:rPr>
          <w:color w:val="000000"/>
          <w:szCs w:val="28"/>
        </w:rPr>
      </w:pPr>
      <w:proofErr w:type="gramStart"/>
      <w:r w:rsidRPr="00BA17D1">
        <w:rPr>
          <w:color w:val="000000"/>
          <w:szCs w:val="28"/>
        </w:rPr>
        <w:t>В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структуре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объема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отгруженной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продукции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обрабатывающих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производств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за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январь-июнь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2013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года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удельный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вес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металлургического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производства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составил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33,3%,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производства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пищевых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продуктов,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включая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напитки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–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48,2%,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производства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транспортных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средств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и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оборудования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–</w:t>
      </w:r>
      <w:r w:rsid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4,5%,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производства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прочих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неметаллических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минеральных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продуктов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–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3,8%,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производства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электрооборудования,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электронного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и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оптического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оборудования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–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3,4%,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производства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резиновых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и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пластмассовых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изделий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–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1,2%,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химического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производства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–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0,4%,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прочих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производств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–</w:t>
      </w:r>
      <w:r w:rsidR="00412D43" w:rsidRPr="00BA17D1">
        <w:rPr>
          <w:color w:val="000000"/>
          <w:szCs w:val="28"/>
        </w:rPr>
        <w:t xml:space="preserve"> </w:t>
      </w:r>
      <w:r w:rsidRPr="00BA17D1">
        <w:rPr>
          <w:color w:val="000000"/>
          <w:szCs w:val="28"/>
        </w:rPr>
        <w:t>3,5%.</w:t>
      </w:r>
      <w:proofErr w:type="gramEnd"/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Увеличили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объемы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отгружаемой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продукции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6153FC" w:rsidRPr="00BA17D1">
        <w:rPr>
          <w:rFonts w:ascii="Times New Roman" w:hAnsi="Times New Roman" w:cs="Times New Roman"/>
          <w:sz w:val="28"/>
          <w:szCs w:val="28"/>
        </w:rPr>
        <w:t>ЗАО «Рокос» (148,%)</w:t>
      </w:r>
      <w:r w:rsidR="006153FC">
        <w:rPr>
          <w:rFonts w:ascii="Times New Roman" w:hAnsi="Times New Roman" w:cs="Times New Roman"/>
          <w:sz w:val="28"/>
          <w:szCs w:val="28"/>
        </w:rPr>
        <w:t xml:space="preserve">, </w:t>
      </w:r>
      <w:r w:rsidR="006153FC" w:rsidRPr="00BA17D1">
        <w:rPr>
          <w:rFonts w:ascii="Times New Roman" w:hAnsi="Times New Roman" w:cs="Times New Roman"/>
          <w:sz w:val="28"/>
          <w:szCs w:val="28"/>
        </w:rPr>
        <w:t>ОАО «Разряд» (129,5%),</w:t>
      </w:r>
      <w:r w:rsidR="006153FC">
        <w:rPr>
          <w:rFonts w:ascii="Times New Roman" w:hAnsi="Times New Roman" w:cs="Times New Roman"/>
          <w:sz w:val="28"/>
          <w:szCs w:val="28"/>
        </w:rPr>
        <w:t xml:space="preserve"> </w:t>
      </w:r>
      <w:r w:rsidR="006153FC" w:rsidRPr="00BA17D1">
        <w:rPr>
          <w:rFonts w:ascii="Times New Roman" w:hAnsi="Times New Roman" w:cs="Times New Roman"/>
          <w:sz w:val="28"/>
          <w:szCs w:val="28"/>
        </w:rPr>
        <w:t xml:space="preserve">ОАО «Радуга» (120,8%), ОАО «Магнит» (108,9%), </w:t>
      </w:r>
      <w:r w:rsidRPr="00BA17D1">
        <w:rPr>
          <w:rFonts w:ascii="Times New Roman" w:hAnsi="Times New Roman" w:cs="Times New Roman"/>
          <w:sz w:val="28"/>
          <w:szCs w:val="28"/>
        </w:rPr>
        <w:t>ОАО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«Моздокская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швейная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фабрика»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(107,0%),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ОАО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17D1">
        <w:rPr>
          <w:rFonts w:ascii="Times New Roman" w:hAnsi="Times New Roman" w:cs="Times New Roman"/>
          <w:sz w:val="28"/>
          <w:szCs w:val="28"/>
        </w:rPr>
        <w:t>Электронкомплекс</w:t>
      </w:r>
      <w:proofErr w:type="spellEnd"/>
      <w:r w:rsidRPr="00BA17D1">
        <w:rPr>
          <w:rFonts w:ascii="Times New Roman" w:hAnsi="Times New Roman" w:cs="Times New Roman"/>
          <w:sz w:val="28"/>
          <w:szCs w:val="28"/>
        </w:rPr>
        <w:t>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(106,6%).</w:t>
      </w:r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7D1">
        <w:rPr>
          <w:rFonts w:ascii="Times New Roman" w:hAnsi="Times New Roman" w:cs="Times New Roman"/>
          <w:sz w:val="28"/>
          <w:szCs w:val="28"/>
        </w:rPr>
        <w:t>Наряду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этим,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снижение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объемов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отгруженной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продукции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видам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деятельности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отмечено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текстильном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швейном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производстве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(84,4%),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обработке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древесины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производстве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изделий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из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дерева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(82,3%),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целлюлозно-бумажном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производстве,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издательской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полиграфической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деятельности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(97,3%),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химическом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производстве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(21,3%),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производстве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резиновых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пластмассовых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изделий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(93,9%),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производстве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прочих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неметаллических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минеральных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продуктов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(69,1%),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металлургическом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производстве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(92,8%),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производстве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электрооборудования,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электронного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оптического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оборудования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(92,4%),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производстве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транспортных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средств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оборудования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(72,9%).</w:t>
      </w:r>
    </w:p>
    <w:p w:rsidR="001E2925" w:rsidRPr="006153FC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Уменьшили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объемы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отгружаемой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продукции: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6153FC" w:rsidRPr="00BA17D1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6153FC" w:rsidRPr="00BA17D1">
        <w:rPr>
          <w:rFonts w:ascii="Times New Roman" w:hAnsi="Times New Roman" w:cs="Times New Roman"/>
          <w:sz w:val="28"/>
          <w:szCs w:val="28"/>
        </w:rPr>
        <w:t>Иристонстекло</w:t>
      </w:r>
      <w:proofErr w:type="spellEnd"/>
      <w:r w:rsidR="006153FC" w:rsidRPr="00BA17D1">
        <w:rPr>
          <w:rFonts w:ascii="Times New Roman" w:hAnsi="Times New Roman" w:cs="Times New Roman"/>
          <w:sz w:val="28"/>
          <w:szCs w:val="28"/>
        </w:rPr>
        <w:t>» (92,1%), ООО «</w:t>
      </w:r>
      <w:proofErr w:type="spellStart"/>
      <w:r w:rsidR="006153FC" w:rsidRPr="00BA17D1">
        <w:rPr>
          <w:rFonts w:ascii="Times New Roman" w:hAnsi="Times New Roman" w:cs="Times New Roman"/>
          <w:sz w:val="28"/>
          <w:szCs w:val="28"/>
        </w:rPr>
        <w:t>СервисПак</w:t>
      </w:r>
      <w:proofErr w:type="spellEnd"/>
      <w:r w:rsidR="006153FC" w:rsidRPr="00BA17D1">
        <w:rPr>
          <w:rFonts w:ascii="Times New Roman" w:hAnsi="Times New Roman" w:cs="Times New Roman"/>
          <w:sz w:val="28"/>
          <w:szCs w:val="28"/>
        </w:rPr>
        <w:t>» (88,1%), ОАО «</w:t>
      </w:r>
      <w:proofErr w:type="spellStart"/>
      <w:r w:rsidR="006153FC" w:rsidRPr="00BA17D1">
        <w:rPr>
          <w:rFonts w:ascii="Times New Roman" w:hAnsi="Times New Roman" w:cs="Times New Roman"/>
          <w:sz w:val="28"/>
          <w:szCs w:val="28"/>
        </w:rPr>
        <w:t>Пневмооборудование</w:t>
      </w:r>
      <w:proofErr w:type="spellEnd"/>
      <w:r w:rsidR="006153FC" w:rsidRPr="00BA17D1">
        <w:rPr>
          <w:rFonts w:ascii="Times New Roman" w:hAnsi="Times New Roman" w:cs="Times New Roman"/>
          <w:sz w:val="28"/>
          <w:szCs w:val="28"/>
        </w:rPr>
        <w:t>» (86,5%), ОАО «Машиностроитель» (86,4%), ОАО «Моздокские узоры (86,2%),</w:t>
      </w:r>
      <w:r w:rsidR="006153FC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ОАО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17D1">
        <w:rPr>
          <w:rFonts w:ascii="Times New Roman" w:hAnsi="Times New Roman" w:cs="Times New Roman"/>
          <w:sz w:val="28"/>
          <w:szCs w:val="28"/>
        </w:rPr>
        <w:t>Кавдоломит</w:t>
      </w:r>
      <w:proofErr w:type="spellEnd"/>
      <w:r w:rsidRPr="00BA17D1">
        <w:rPr>
          <w:rFonts w:ascii="Times New Roman" w:hAnsi="Times New Roman" w:cs="Times New Roman"/>
          <w:sz w:val="28"/>
          <w:szCs w:val="28"/>
        </w:rPr>
        <w:t>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(78,7%),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6153FC" w:rsidRPr="00BA17D1">
        <w:rPr>
          <w:rFonts w:ascii="Times New Roman" w:hAnsi="Times New Roman" w:cs="Times New Roman"/>
          <w:sz w:val="28"/>
          <w:szCs w:val="28"/>
        </w:rPr>
        <w:t>ОАО «ВВРЗ» (72,8%)</w:t>
      </w:r>
      <w:r w:rsidR="006153FC">
        <w:rPr>
          <w:rFonts w:ascii="Times New Roman" w:hAnsi="Times New Roman" w:cs="Times New Roman"/>
          <w:sz w:val="28"/>
          <w:szCs w:val="28"/>
        </w:rPr>
        <w:t xml:space="preserve">, </w:t>
      </w:r>
      <w:r w:rsidR="006153FC" w:rsidRPr="00BA17D1">
        <w:rPr>
          <w:rFonts w:ascii="Times New Roman" w:hAnsi="Times New Roman" w:cs="Times New Roman"/>
          <w:sz w:val="28"/>
          <w:szCs w:val="28"/>
        </w:rPr>
        <w:t>ООО «УПП ВОС» (71,4%), ООО «Луч» (69,8%), ОАО</w:t>
      </w:r>
      <w:r w:rsidR="006C647C">
        <w:rPr>
          <w:rFonts w:ascii="Times New Roman" w:hAnsi="Times New Roman" w:cs="Times New Roman"/>
          <w:sz w:val="28"/>
          <w:szCs w:val="28"/>
        </w:rPr>
        <w:t xml:space="preserve"> «</w:t>
      </w:r>
      <w:r w:rsidR="006153FC" w:rsidRPr="00BA17D1">
        <w:rPr>
          <w:rFonts w:ascii="Times New Roman" w:hAnsi="Times New Roman" w:cs="Times New Roman"/>
          <w:sz w:val="28"/>
          <w:szCs w:val="28"/>
        </w:rPr>
        <w:t>Крон» (62,3%), ОАО «Гран» (60,9%),</w:t>
      </w:r>
      <w:r w:rsidR="006153FC">
        <w:rPr>
          <w:rFonts w:ascii="Times New Roman" w:hAnsi="Times New Roman" w:cs="Times New Roman"/>
          <w:sz w:val="28"/>
          <w:szCs w:val="28"/>
        </w:rPr>
        <w:t xml:space="preserve"> </w:t>
      </w:r>
      <w:r w:rsidR="006153FC" w:rsidRPr="00BA17D1">
        <w:rPr>
          <w:rFonts w:ascii="Times New Roman" w:hAnsi="Times New Roman" w:cs="Times New Roman"/>
          <w:sz w:val="28"/>
          <w:szCs w:val="28"/>
        </w:rPr>
        <w:t xml:space="preserve">ООО </w:t>
      </w:r>
      <w:r w:rsidR="006153FC" w:rsidRPr="006153FC">
        <w:rPr>
          <w:rFonts w:ascii="Times New Roman" w:hAnsi="Times New Roman" w:cs="Times New Roman"/>
          <w:sz w:val="28"/>
          <w:szCs w:val="28"/>
        </w:rPr>
        <w:t xml:space="preserve">«ДГФТ» (34,6%), </w:t>
      </w:r>
      <w:r w:rsidRPr="006153FC">
        <w:rPr>
          <w:rFonts w:ascii="Times New Roman" w:hAnsi="Times New Roman" w:cs="Times New Roman"/>
          <w:sz w:val="28"/>
          <w:szCs w:val="28"/>
        </w:rPr>
        <w:t>ООО</w:t>
      </w:r>
      <w:r w:rsidR="00412D43" w:rsidRPr="006153FC">
        <w:rPr>
          <w:rFonts w:ascii="Times New Roman" w:hAnsi="Times New Roman" w:cs="Times New Roman"/>
          <w:sz w:val="28"/>
          <w:szCs w:val="28"/>
        </w:rPr>
        <w:t xml:space="preserve"> </w:t>
      </w:r>
      <w:r w:rsidRPr="006153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153FC">
        <w:rPr>
          <w:rFonts w:ascii="Times New Roman" w:hAnsi="Times New Roman" w:cs="Times New Roman"/>
          <w:sz w:val="28"/>
          <w:szCs w:val="28"/>
        </w:rPr>
        <w:t>Ирафская</w:t>
      </w:r>
      <w:proofErr w:type="spellEnd"/>
      <w:r w:rsidR="00412D43" w:rsidRPr="006153FC">
        <w:rPr>
          <w:rFonts w:ascii="Times New Roman" w:hAnsi="Times New Roman" w:cs="Times New Roman"/>
          <w:sz w:val="28"/>
          <w:szCs w:val="28"/>
        </w:rPr>
        <w:t xml:space="preserve"> </w:t>
      </w:r>
      <w:r w:rsidRPr="006153FC">
        <w:rPr>
          <w:rFonts w:ascii="Times New Roman" w:hAnsi="Times New Roman" w:cs="Times New Roman"/>
          <w:sz w:val="28"/>
          <w:szCs w:val="28"/>
        </w:rPr>
        <w:t>швейная</w:t>
      </w:r>
      <w:r w:rsidR="00412D43" w:rsidRPr="006153FC">
        <w:rPr>
          <w:rFonts w:ascii="Times New Roman" w:hAnsi="Times New Roman" w:cs="Times New Roman"/>
          <w:sz w:val="28"/>
          <w:szCs w:val="28"/>
        </w:rPr>
        <w:t xml:space="preserve"> </w:t>
      </w:r>
      <w:r w:rsidRPr="006153FC">
        <w:rPr>
          <w:rFonts w:ascii="Times New Roman" w:hAnsi="Times New Roman" w:cs="Times New Roman"/>
          <w:sz w:val="28"/>
          <w:szCs w:val="28"/>
        </w:rPr>
        <w:t>фабрика»</w:t>
      </w:r>
      <w:r w:rsidR="00412D43" w:rsidRPr="006153FC">
        <w:rPr>
          <w:rFonts w:ascii="Times New Roman" w:hAnsi="Times New Roman" w:cs="Times New Roman"/>
          <w:sz w:val="28"/>
          <w:szCs w:val="28"/>
        </w:rPr>
        <w:t xml:space="preserve"> </w:t>
      </w:r>
      <w:r w:rsidRPr="006153FC">
        <w:rPr>
          <w:rFonts w:ascii="Times New Roman" w:hAnsi="Times New Roman" w:cs="Times New Roman"/>
          <w:sz w:val="28"/>
          <w:szCs w:val="28"/>
        </w:rPr>
        <w:t>(24,8%).</w:t>
      </w:r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Снижение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объемов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производства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обусловлено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сокращением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оборонных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государственных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заказов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предприятиях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оборонно-промышленного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комплекса,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также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усилением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конкуренции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вследствие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роста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импорта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текстильной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отрасли,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отказом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традиционных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потребителей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ранее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lastRenderedPageBreak/>
        <w:t>заключенных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договорных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обязательств.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Использование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большинстве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предприятий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устаревших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материалоемких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7D1">
        <w:rPr>
          <w:rFonts w:ascii="Times New Roman" w:hAnsi="Times New Roman" w:cs="Times New Roman"/>
          <w:sz w:val="28"/>
          <w:szCs w:val="28"/>
        </w:rPr>
        <w:t>энергозатратных</w:t>
      </w:r>
      <w:proofErr w:type="spellEnd"/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технологий,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удорожание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сырья,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материалов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энергоносителей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растущих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накладных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расходах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способствуют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росту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себестоимости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конечной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продукции.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25" w:rsidRPr="00BA17D1" w:rsidRDefault="001E2925" w:rsidP="00645BBA">
      <w:pPr>
        <w:pStyle w:val="af0"/>
        <w:tabs>
          <w:tab w:val="left" w:pos="1620"/>
          <w:tab w:val="left" w:pos="2700"/>
        </w:tabs>
        <w:spacing w:after="0"/>
        <w:ind w:left="0" w:firstLine="709"/>
        <w:jc w:val="both"/>
        <w:rPr>
          <w:sz w:val="28"/>
          <w:szCs w:val="28"/>
        </w:rPr>
      </w:pPr>
      <w:r w:rsidRPr="00BA17D1">
        <w:rPr>
          <w:sz w:val="28"/>
          <w:szCs w:val="28"/>
        </w:rPr>
        <w:t>Кроме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того,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факторами,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сдерживающими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рост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производства,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явились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повышение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тарифов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электроэнергию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транспортные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услуги,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также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высокая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стоимость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банковских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ресурсов.</w:t>
      </w:r>
    </w:p>
    <w:p w:rsidR="005C3D3F" w:rsidRDefault="005C3D3F" w:rsidP="00645BBA">
      <w:pPr>
        <w:pStyle w:val="3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24ABB" w:rsidRPr="00C24ABB" w:rsidRDefault="00C24ABB" w:rsidP="00C24ABB"/>
    <w:p w:rsidR="00DD1B34" w:rsidRPr="00BA17D1" w:rsidRDefault="00DD1B34" w:rsidP="00645BBA">
      <w:pPr>
        <w:pStyle w:val="3"/>
        <w:keepNext w:val="0"/>
        <w:widowControl w:val="0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A17D1">
        <w:rPr>
          <w:rFonts w:ascii="Times New Roman" w:hAnsi="Times New Roman" w:cs="Times New Roman"/>
          <w:color w:val="auto"/>
          <w:sz w:val="28"/>
          <w:szCs w:val="28"/>
        </w:rPr>
        <w:t>Транспорт</w:t>
      </w:r>
    </w:p>
    <w:p w:rsidR="001C734D" w:rsidRPr="00BA17D1" w:rsidRDefault="001C734D" w:rsidP="00645BBA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  <w:lang w:val="ru-RU"/>
        </w:rPr>
      </w:pPr>
    </w:p>
    <w:p w:rsidR="001E2925" w:rsidRPr="00BA17D1" w:rsidRDefault="001E2925" w:rsidP="00645BBA">
      <w:pPr>
        <w:pStyle w:val="ae"/>
        <w:ind w:firstLine="709"/>
        <w:rPr>
          <w:szCs w:val="28"/>
        </w:rPr>
      </w:pPr>
      <w:r w:rsidRPr="00BA17D1">
        <w:rPr>
          <w:szCs w:val="28"/>
          <w:lang w:eastAsia="x-none"/>
        </w:rPr>
        <w:t>За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январь-июнь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</w:rPr>
        <w:t>201</w:t>
      </w:r>
      <w:r w:rsidRPr="00BA17D1">
        <w:rPr>
          <w:szCs w:val="28"/>
          <w:lang w:eastAsia="x-none"/>
        </w:rPr>
        <w:t>3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год</w:t>
      </w:r>
      <w:r w:rsidRPr="00BA17D1">
        <w:rPr>
          <w:szCs w:val="28"/>
          <w:lang w:eastAsia="x-none"/>
        </w:rPr>
        <w:t>а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грузовым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автомобильным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транспортом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организаций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всех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видов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экономической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деятельности,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перевезено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  <w:lang w:eastAsia="x-none"/>
        </w:rPr>
        <w:t>1</w:t>
      </w:r>
      <w:r w:rsidR="005C3D3F">
        <w:rPr>
          <w:szCs w:val="28"/>
          <w:lang w:eastAsia="x-none"/>
        </w:rPr>
        <w:t> </w:t>
      </w:r>
      <w:r w:rsidRPr="00BA17D1">
        <w:rPr>
          <w:szCs w:val="28"/>
          <w:lang w:eastAsia="x-none"/>
        </w:rPr>
        <w:t>042,7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тыс.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тонн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грузов,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что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  <w:lang w:eastAsia="x-none"/>
        </w:rPr>
        <w:t>выше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показателя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</w:rPr>
        <w:t>соответствующе</w:t>
      </w:r>
      <w:r w:rsidRPr="00BA17D1">
        <w:rPr>
          <w:szCs w:val="28"/>
          <w:lang w:eastAsia="x-none"/>
        </w:rPr>
        <w:t>го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период</w:t>
      </w:r>
      <w:r w:rsidRPr="00BA17D1">
        <w:rPr>
          <w:szCs w:val="28"/>
          <w:lang w:eastAsia="x-none"/>
        </w:rPr>
        <w:t>а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прошлого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года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в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1,5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раза.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Причиной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столь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значительного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роста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объемов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грузоперевозок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является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появление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новой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строительно-производственной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организации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«ОРТЭВ»,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пользующейся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услугами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автотранспорта.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Предприятиями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автотранспорта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в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январе-июне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2013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года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перевезено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7,6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тыс.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тонн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(60,0%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к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соответствующему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периоду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2012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года),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что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связано</w:t>
      </w:r>
      <w:r w:rsidR="00412D43" w:rsidRPr="00BA17D1">
        <w:rPr>
          <w:szCs w:val="28"/>
          <w:lang w:eastAsia="x-none"/>
        </w:rPr>
        <w:t xml:space="preserve"> </w:t>
      </w:r>
      <w:r w:rsidRPr="00BA17D1">
        <w:rPr>
          <w:szCs w:val="28"/>
          <w:lang w:eastAsia="x-none"/>
        </w:rPr>
        <w:t>с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неконкурентоспособностью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подвижного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состава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отсутствием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заказов.</w:t>
      </w:r>
    </w:p>
    <w:p w:rsidR="001E2925" w:rsidRPr="00BA17D1" w:rsidRDefault="001E2925" w:rsidP="00645BBA">
      <w:pPr>
        <w:pStyle w:val="a7"/>
        <w:widowControl w:val="0"/>
        <w:tabs>
          <w:tab w:val="left" w:pos="1620"/>
        </w:tabs>
        <w:spacing w:after="0"/>
        <w:ind w:firstLine="709"/>
        <w:jc w:val="both"/>
        <w:rPr>
          <w:b/>
          <w:bCs/>
          <w:sz w:val="28"/>
          <w:szCs w:val="28"/>
        </w:rPr>
      </w:pPr>
      <w:r w:rsidRPr="00BA17D1">
        <w:rPr>
          <w:sz w:val="28"/>
          <w:szCs w:val="28"/>
        </w:rPr>
        <w:t>При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этом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грузооборот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текущем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периоде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сравнению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прошлым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снизился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33,9%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составил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38,8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млн</w:t>
      </w:r>
      <w:r w:rsidR="00412D43" w:rsidRPr="00BA17D1">
        <w:rPr>
          <w:sz w:val="28"/>
          <w:szCs w:val="28"/>
          <w:lang w:val="ru-RU"/>
        </w:rPr>
        <w:t xml:space="preserve"> </w:t>
      </w:r>
      <w:r w:rsidRPr="00BA17D1">
        <w:rPr>
          <w:sz w:val="28"/>
          <w:szCs w:val="28"/>
        </w:rPr>
        <w:t>т</w:t>
      </w:r>
      <w:r w:rsidR="005C3D3F">
        <w:rPr>
          <w:sz w:val="28"/>
          <w:szCs w:val="28"/>
          <w:lang w:val="ru-RU"/>
        </w:rPr>
        <w:t xml:space="preserve"> </w:t>
      </w:r>
      <w:r w:rsidRPr="00BA17D1">
        <w:rPr>
          <w:sz w:val="28"/>
          <w:szCs w:val="28"/>
        </w:rPr>
        <w:t>к</w:t>
      </w:r>
      <w:r w:rsidR="005C3D3F">
        <w:rPr>
          <w:sz w:val="28"/>
          <w:szCs w:val="28"/>
          <w:lang w:val="ru-RU"/>
        </w:rPr>
        <w:t>м</w:t>
      </w:r>
      <w:r w:rsidRPr="00BA17D1">
        <w:rPr>
          <w:sz w:val="28"/>
          <w:szCs w:val="28"/>
        </w:rPr>
        <w:t>.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Причинами</w:t>
      </w:r>
      <w:r w:rsidR="00412D43" w:rsidRPr="00BA17D1">
        <w:rPr>
          <w:sz w:val="28"/>
          <w:szCs w:val="28"/>
        </w:rPr>
        <w:t xml:space="preserve"> </w:t>
      </w:r>
      <w:r w:rsidR="00D246EC">
        <w:rPr>
          <w:sz w:val="28"/>
          <w:szCs w:val="28"/>
          <w:lang w:val="ru-RU"/>
        </w:rPr>
        <w:t xml:space="preserve">его </w:t>
      </w:r>
      <w:r w:rsidRPr="00BA17D1">
        <w:rPr>
          <w:sz w:val="28"/>
          <w:szCs w:val="28"/>
        </w:rPr>
        <w:t>снижения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являются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значительный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физический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износ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грузового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автотранспорта,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использование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его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для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перевозки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грузов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более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короткие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расстояния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как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следствие,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перераспределение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части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заказов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железнодорожный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транспорт.</w:t>
      </w:r>
      <w:r w:rsidR="00412D43" w:rsidRPr="00BA17D1">
        <w:rPr>
          <w:sz w:val="28"/>
          <w:szCs w:val="28"/>
        </w:rPr>
        <w:t xml:space="preserve"> </w:t>
      </w:r>
    </w:p>
    <w:p w:rsidR="001E2925" w:rsidRPr="00BA17D1" w:rsidRDefault="001E2925" w:rsidP="00645BBA">
      <w:pPr>
        <w:pStyle w:val="a7"/>
        <w:widowControl w:val="0"/>
        <w:tabs>
          <w:tab w:val="left" w:pos="1620"/>
        </w:tabs>
        <w:spacing w:after="0"/>
        <w:ind w:firstLine="709"/>
        <w:jc w:val="both"/>
        <w:rPr>
          <w:sz w:val="28"/>
          <w:szCs w:val="28"/>
        </w:rPr>
      </w:pPr>
      <w:r w:rsidRPr="00BA17D1">
        <w:rPr>
          <w:sz w:val="28"/>
          <w:szCs w:val="28"/>
        </w:rPr>
        <w:t>Пассажирским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автотранспортом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предприятий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привлеченных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физических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лиц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отчетном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периоде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перевезено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30,9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млн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пассажиров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(101,7%),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этом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пассажирооборот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составил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98,6%.</w:t>
      </w:r>
    </w:p>
    <w:p w:rsidR="001E2925" w:rsidRPr="00BA17D1" w:rsidRDefault="001E2925" w:rsidP="00645BBA">
      <w:pPr>
        <w:pStyle w:val="ae"/>
        <w:ind w:firstLine="709"/>
        <w:rPr>
          <w:szCs w:val="28"/>
        </w:rPr>
      </w:pPr>
      <w:proofErr w:type="gramStart"/>
      <w:r w:rsidRPr="00BA17D1">
        <w:rPr>
          <w:szCs w:val="28"/>
        </w:rPr>
        <w:t>На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сегодняшний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день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весь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республиканский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автопарк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базируется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на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6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автотранспортных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предприятиях,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которые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обслуживают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109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автобусных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маршрутов,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том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числе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16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муниципальных,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69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межмуниципальных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(49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из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них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убыточны),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23</w:t>
      </w:r>
      <w:r w:rsidR="00412D43" w:rsidRPr="00BA17D1">
        <w:rPr>
          <w:szCs w:val="28"/>
        </w:rPr>
        <w:t xml:space="preserve"> </w:t>
      </w:r>
      <w:proofErr w:type="spellStart"/>
      <w:r w:rsidRPr="00BA17D1">
        <w:rPr>
          <w:szCs w:val="28"/>
        </w:rPr>
        <w:t>межсубъектных</w:t>
      </w:r>
      <w:proofErr w:type="spellEnd"/>
      <w:r w:rsidRPr="00BA17D1">
        <w:rPr>
          <w:szCs w:val="28"/>
        </w:rPr>
        <w:t>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1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международный.</w:t>
      </w:r>
      <w:r w:rsidR="00412D43" w:rsidRPr="00BA17D1">
        <w:rPr>
          <w:szCs w:val="28"/>
        </w:rPr>
        <w:t xml:space="preserve"> </w:t>
      </w:r>
      <w:proofErr w:type="gramEnd"/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Перевозки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пассажиров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г.</w:t>
      </w:r>
      <w:r w:rsidR="004E7958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Владикавказе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осуществляют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ВМУП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17D1">
        <w:rPr>
          <w:rFonts w:ascii="Times New Roman" w:hAnsi="Times New Roman" w:cs="Times New Roman"/>
          <w:sz w:val="28"/>
          <w:szCs w:val="28"/>
        </w:rPr>
        <w:t>ВладЭлектроТранс</w:t>
      </w:r>
      <w:proofErr w:type="spellEnd"/>
      <w:r w:rsidRPr="00BA17D1">
        <w:rPr>
          <w:rFonts w:ascii="Times New Roman" w:hAnsi="Times New Roman" w:cs="Times New Roman"/>
          <w:sz w:val="28"/>
          <w:szCs w:val="28"/>
        </w:rPr>
        <w:t>»,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ВМУП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17D1">
        <w:rPr>
          <w:rFonts w:ascii="Times New Roman" w:hAnsi="Times New Roman" w:cs="Times New Roman"/>
          <w:sz w:val="28"/>
          <w:szCs w:val="28"/>
        </w:rPr>
        <w:t>ВладАвтоТранс</w:t>
      </w:r>
      <w:proofErr w:type="spellEnd"/>
      <w:r w:rsidRPr="00BA17D1">
        <w:rPr>
          <w:rFonts w:ascii="Times New Roman" w:hAnsi="Times New Roman" w:cs="Times New Roman"/>
          <w:sz w:val="28"/>
          <w:szCs w:val="28"/>
        </w:rPr>
        <w:t>»,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привлеченный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частный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транспорт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44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автобусным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6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трамвайным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маршрутам.</w:t>
      </w:r>
    </w:p>
    <w:p w:rsidR="001E2925" w:rsidRPr="00BA17D1" w:rsidRDefault="001E2925" w:rsidP="00645BBA">
      <w:pPr>
        <w:pStyle w:val="a7"/>
        <w:tabs>
          <w:tab w:val="left" w:pos="1620"/>
        </w:tabs>
        <w:spacing w:after="0"/>
        <w:ind w:firstLine="709"/>
        <w:jc w:val="both"/>
        <w:rPr>
          <w:sz w:val="28"/>
          <w:szCs w:val="28"/>
        </w:rPr>
      </w:pPr>
      <w:r w:rsidRPr="00BA17D1">
        <w:rPr>
          <w:sz w:val="28"/>
          <w:szCs w:val="28"/>
        </w:rPr>
        <w:t>Значительный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рост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цен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топливо,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материалы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запасные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части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негативно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сказывается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текущем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состоянии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обновлении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подвижного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состава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автотранспортных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предприятий.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</w:t>
      </w:r>
      <w:r w:rsidRPr="00BA17D1">
        <w:rPr>
          <w:sz w:val="28"/>
          <w:szCs w:val="28"/>
          <w:lang w:val="ru-RU"/>
        </w:rPr>
        <w:t>-</w:t>
      </w:r>
      <w:r w:rsidRPr="00BA17D1">
        <w:rPr>
          <w:sz w:val="28"/>
          <w:szCs w:val="28"/>
        </w:rPr>
        <w:t>прежнему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проблема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обновления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подвижного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состава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отрасли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стоит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особенно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остро.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Износ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парка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составляет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свыше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80%,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что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влечет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за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собой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увеличение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затрат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на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ремонт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обслуживание,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ухудшение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качества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обслуживания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пассажиров,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а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в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конечном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счете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приводит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снижению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рентабельности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конкурентоспособности</w:t>
      </w:r>
      <w:r w:rsidR="00412D43" w:rsidRPr="00BA17D1">
        <w:rPr>
          <w:sz w:val="28"/>
          <w:szCs w:val="28"/>
        </w:rPr>
        <w:t xml:space="preserve"> </w:t>
      </w:r>
      <w:r w:rsidRPr="00BA17D1">
        <w:rPr>
          <w:sz w:val="28"/>
          <w:szCs w:val="28"/>
        </w:rPr>
        <w:t>перевозок.</w:t>
      </w:r>
    </w:p>
    <w:p w:rsidR="001E2925" w:rsidRPr="00BA17D1" w:rsidRDefault="001E2925" w:rsidP="00645BBA">
      <w:pPr>
        <w:pStyle w:val="ae"/>
        <w:ind w:firstLine="709"/>
        <w:rPr>
          <w:bCs/>
          <w:szCs w:val="28"/>
        </w:rPr>
      </w:pPr>
      <w:proofErr w:type="gramStart"/>
      <w:r w:rsidRPr="00BA17D1">
        <w:rPr>
          <w:szCs w:val="28"/>
        </w:rPr>
        <w:lastRenderedPageBreak/>
        <w:t>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работе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городского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электрического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транспорта,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незначительном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снижении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выпуска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вагонов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на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линию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причине</w:t>
      </w:r>
      <w:r w:rsidR="00412D43" w:rsidRPr="00BA17D1">
        <w:rPr>
          <w:szCs w:val="28"/>
        </w:rPr>
        <w:t xml:space="preserve"> </w:t>
      </w:r>
      <w:r w:rsidR="00D246EC">
        <w:rPr>
          <w:szCs w:val="28"/>
        </w:rPr>
        <w:t xml:space="preserve">их </w:t>
      </w:r>
      <w:r w:rsidRPr="00BA17D1">
        <w:rPr>
          <w:szCs w:val="28"/>
        </w:rPr>
        <w:t>неисправности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и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ремонта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трамвайных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путей,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отмечено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улучшение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качественных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показателей</w:t>
      </w:r>
      <w:r w:rsidR="00412D43" w:rsidRPr="00BA17D1">
        <w:rPr>
          <w:szCs w:val="28"/>
        </w:rPr>
        <w:t xml:space="preserve"> </w:t>
      </w:r>
      <w:r w:rsidRPr="00BA17D1">
        <w:rPr>
          <w:szCs w:val="28"/>
        </w:rPr>
        <w:t>работы: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снижены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случаи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сходов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вагонов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с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рельсов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на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61,1%,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обрывов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контактных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проводов</w:t>
      </w:r>
      <w:r w:rsidR="00412D43" w:rsidRPr="00BA17D1">
        <w:rPr>
          <w:bCs/>
          <w:szCs w:val="28"/>
        </w:rPr>
        <w:t xml:space="preserve"> </w:t>
      </w:r>
      <w:r w:rsidR="00C24ABB">
        <w:rPr>
          <w:bCs/>
          <w:szCs w:val="28"/>
        </w:rPr>
        <w:t>–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на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54,7%,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возврата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подвижного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состава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с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линии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по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технической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неисправности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–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на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28,9%,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регулярность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движения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выросла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на</w:t>
      </w:r>
      <w:r w:rsidR="00412D43" w:rsidRPr="00BA17D1">
        <w:rPr>
          <w:bCs/>
          <w:szCs w:val="28"/>
        </w:rPr>
        <w:t xml:space="preserve"> </w:t>
      </w:r>
      <w:r w:rsidRPr="00BA17D1">
        <w:rPr>
          <w:bCs/>
          <w:szCs w:val="28"/>
        </w:rPr>
        <w:t>17,8%.</w:t>
      </w:r>
      <w:r w:rsidR="00412D43" w:rsidRPr="00BA17D1">
        <w:rPr>
          <w:bCs/>
          <w:szCs w:val="28"/>
        </w:rPr>
        <w:t xml:space="preserve"> </w:t>
      </w:r>
      <w:proofErr w:type="gramEnd"/>
    </w:p>
    <w:p w:rsidR="001E2925" w:rsidRPr="00D246EC" w:rsidRDefault="001E2925" w:rsidP="00645BBA">
      <w:pPr>
        <w:pStyle w:val="a7"/>
        <w:tabs>
          <w:tab w:val="left" w:pos="16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BA17D1">
        <w:rPr>
          <w:bCs/>
          <w:sz w:val="28"/>
          <w:szCs w:val="28"/>
        </w:rPr>
        <w:t>В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связи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с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этим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выросли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доходы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от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перевозки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пассажиров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городским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электрическим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транспортом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к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уровню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аналогичного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периода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2012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года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на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9,4%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и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составили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13,9</w:t>
      </w:r>
      <w:r w:rsidR="00412D43" w:rsidRPr="00BA17D1">
        <w:rPr>
          <w:bCs/>
          <w:sz w:val="28"/>
          <w:szCs w:val="28"/>
        </w:rPr>
        <w:t xml:space="preserve"> </w:t>
      </w:r>
      <w:r w:rsidRPr="00BA17D1">
        <w:rPr>
          <w:bCs/>
          <w:sz w:val="28"/>
          <w:szCs w:val="28"/>
        </w:rPr>
        <w:t>млн</w:t>
      </w:r>
      <w:r w:rsidR="00412D43" w:rsidRPr="00BA17D1">
        <w:rPr>
          <w:bCs/>
          <w:sz w:val="28"/>
          <w:szCs w:val="28"/>
        </w:rPr>
        <w:t xml:space="preserve"> </w:t>
      </w:r>
      <w:r w:rsidR="004C688F">
        <w:rPr>
          <w:bCs/>
          <w:sz w:val="28"/>
          <w:szCs w:val="28"/>
        </w:rPr>
        <w:t>рублей</w:t>
      </w:r>
      <w:r w:rsidR="00D246EC">
        <w:rPr>
          <w:bCs/>
          <w:sz w:val="28"/>
          <w:szCs w:val="28"/>
          <w:lang w:val="ru-RU"/>
        </w:rPr>
        <w:t>.</w:t>
      </w:r>
    </w:p>
    <w:p w:rsidR="001E2925" w:rsidRPr="00BA17D1" w:rsidRDefault="001E2925" w:rsidP="00645BBA">
      <w:pPr>
        <w:tabs>
          <w:tab w:val="num" w:pos="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Постановлением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АМС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Владикавказ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утверждена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муниципальная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ведомственная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программа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«Развитие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городского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пассажирского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транспорта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2013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год».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рамках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28104E">
        <w:rPr>
          <w:rFonts w:ascii="Times New Roman" w:hAnsi="Times New Roman" w:cs="Times New Roman"/>
          <w:sz w:val="28"/>
          <w:szCs w:val="28"/>
        </w:rPr>
        <w:t>п</w:t>
      </w:r>
      <w:r w:rsidRPr="00BA17D1">
        <w:rPr>
          <w:rFonts w:ascii="Times New Roman" w:hAnsi="Times New Roman" w:cs="Times New Roman"/>
          <w:sz w:val="28"/>
          <w:szCs w:val="28"/>
        </w:rPr>
        <w:t>рограммы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предусмотрено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30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7D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4C688F">
        <w:rPr>
          <w:rFonts w:ascii="Times New Roman" w:hAnsi="Times New Roman" w:cs="Times New Roman"/>
          <w:sz w:val="28"/>
          <w:szCs w:val="28"/>
        </w:rPr>
        <w:t>рублей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покрытие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убытков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деятельности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предприятия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ВМУП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17D1">
        <w:rPr>
          <w:rFonts w:ascii="Times New Roman" w:hAnsi="Times New Roman" w:cs="Times New Roman"/>
          <w:sz w:val="28"/>
          <w:szCs w:val="28"/>
        </w:rPr>
        <w:t>ВладЭлектроТранс</w:t>
      </w:r>
      <w:proofErr w:type="spellEnd"/>
      <w:r w:rsidRPr="00BA17D1">
        <w:rPr>
          <w:rFonts w:ascii="Times New Roman" w:hAnsi="Times New Roman" w:cs="Times New Roman"/>
          <w:sz w:val="28"/>
          <w:szCs w:val="28"/>
        </w:rPr>
        <w:t>»,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5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млн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4C688F">
        <w:rPr>
          <w:rFonts w:ascii="Times New Roman" w:hAnsi="Times New Roman" w:cs="Times New Roman"/>
          <w:sz w:val="28"/>
          <w:szCs w:val="28"/>
        </w:rPr>
        <w:t>рублей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проведение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ремонтных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работ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восстановлению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высоковольтных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кабелей,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13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млн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4C688F">
        <w:rPr>
          <w:rFonts w:ascii="Times New Roman" w:hAnsi="Times New Roman" w:cs="Times New Roman"/>
          <w:sz w:val="28"/>
          <w:szCs w:val="28"/>
        </w:rPr>
        <w:t>рублей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приобретение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автобусов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малого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класса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28104E">
        <w:rPr>
          <w:rFonts w:ascii="Times New Roman" w:hAnsi="Times New Roman" w:cs="Times New Roman"/>
          <w:sz w:val="28"/>
          <w:szCs w:val="28"/>
        </w:rPr>
        <w:t>«</w:t>
      </w:r>
      <w:r w:rsidRPr="00BA17D1">
        <w:rPr>
          <w:rFonts w:ascii="Times New Roman" w:hAnsi="Times New Roman" w:cs="Times New Roman"/>
          <w:sz w:val="28"/>
          <w:szCs w:val="28"/>
        </w:rPr>
        <w:t>Хендай</w:t>
      </w:r>
      <w:r w:rsidR="0028104E">
        <w:rPr>
          <w:rFonts w:ascii="Times New Roman" w:hAnsi="Times New Roman" w:cs="Times New Roman"/>
          <w:sz w:val="28"/>
          <w:szCs w:val="28"/>
        </w:rPr>
        <w:t>»</w:t>
      </w:r>
      <w:r w:rsidRPr="00BA17D1">
        <w:rPr>
          <w:rFonts w:ascii="Times New Roman" w:hAnsi="Times New Roman" w:cs="Times New Roman"/>
          <w:sz w:val="28"/>
          <w:szCs w:val="28"/>
        </w:rPr>
        <w:t>.</w:t>
      </w:r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целях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транспортных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услуг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населению,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улучшения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организации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транспортного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обслуживания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населения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было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принято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решение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оптимизации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маршрутной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сети,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D246E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A17D1">
        <w:rPr>
          <w:rFonts w:ascii="Times New Roman" w:hAnsi="Times New Roman" w:cs="Times New Roman"/>
          <w:sz w:val="28"/>
          <w:szCs w:val="28"/>
        </w:rPr>
        <w:t>которой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закрыто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7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нерентабельных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маршрутов.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маршрутах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№№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9,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12,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17,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23,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23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«А»,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37,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50,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Чми,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Балта,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Ларс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7D1">
        <w:rPr>
          <w:rFonts w:ascii="Times New Roman" w:hAnsi="Times New Roman" w:cs="Times New Roman"/>
          <w:sz w:val="28"/>
          <w:szCs w:val="28"/>
        </w:rPr>
        <w:t>Редант</w:t>
      </w:r>
      <w:proofErr w:type="spellEnd"/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запущены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автобусы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малого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класса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«Хендай»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для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обслуживания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льготной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категории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граждан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единым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социальным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проездным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билетам.</w:t>
      </w:r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Созданной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АМС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Владикавказа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Комиссией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регулярно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проводится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конкурсный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отбор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переходной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маршрутной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сети.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результатам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конкурсного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отбора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победителями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заключаются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договоры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право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оказания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услуг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перевозке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пассажиров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багажа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городским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маршрутам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регулярного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сообщения.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25" w:rsidRPr="00BA17D1" w:rsidRDefault="001E2925" w:rsidP="00645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целях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усиления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системы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безопасности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пассажиров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автовокзале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№1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установлено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досмотровое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оборудование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принято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решение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закрытии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въезда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территорию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вокзала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для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частного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автотранспорта.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25" w:rsidRPr="004A7EF9" w:rsidRDefault="001E2925" w:rsidP="00645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Также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администрацией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города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создана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центральная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диспетчерская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служба,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деятельность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которой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заключается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осуществлении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7D1">
        <w:rPr>
          <w:rFonts w:ascii="Times New Roman" w:hAnsi="Times New Roman" w:cs="Times New Roman"/>
          <w:sz w:val="28"/>
          <w:szCs w:val="28"/>
        </w:rPr>
        <w:t>контроля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режимом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работы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водителей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пассажирского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транспорта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соблюдения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ими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маршрутов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движения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использованием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аппаратуры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спутниковой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навигации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ГЛОНАСС/GP</w:t>
      </w:r>
      <w:r w:rsidR="00745FEF" w:rsidRPr="004A7EF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A7EF9">
        <w:rPr>
          <w:rFonts w:ascii="Times New Roman" w:hAnsi="Times New Roman" w:cs="Times New Roman"/>
          <w:sz w:val="28"/>
          <w:szCs w:val="28"/>
        </w:rPr>
        <w:t>.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Вместе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с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тем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пока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нельзя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делать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вывод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о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стабильной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работе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городского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пассажирского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транспорта.</w:t>
      </w:r>
    </w:p>
    <w:p w:rsidR="001E2925" w:rsidRDefault="001E2925" w:rsidP="00645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4ABB" w:rsidRPr="00BA17D1" w:rsidRDefault="00C24ABB" w:rsidP="00645BB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B34" w:rsidRPr="00BA17D1" w:rsidRDefault="00DD1B34" w:rsidP="00645BBA">
      <w:pPr>
        <w:pStyle w:val="2"/>
        <w:widowControl w:val="0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BA17D1">
        <w:rPr>
          <w:b/>
          <w:bCs/>
          <w:sz w:val="28"/>
          <w:szCs w:val="28"/>
        </w:rPr>
        <w:t>Связь</w:t>
      </w:r>
    </w:p>
    <w:p w:rsidR="00DD1B34" w:rsidRPr="00BA17D1" w:rsidRDefault="00DD1B34" w:rsidP="00645B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целях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реализации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Стратегии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развития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информационного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общества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Российской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Федерации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республике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реализуется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Концепция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развития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lastRenderedPageBreak/>
        <w:t>информационного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общества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Республике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Северная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Осетия-Алания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период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2010-2015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годы</w:t>
      </w:r>
      <w:r w:rsidR="00D246EC">
        <w:rPr>
          <w:rFonts w:ascii="Times New Roman" w:hAnsi="Times New Roman" w:cs="Times New Roman"/>
          <w:sz w:val="28"/>
          <w:szCs w:val="28"/>
        </w:rPr>
        <w:t xml:space="preserve">, </w:t>
      </w:r>
      <w:r w:rsidR="00F142ED">
        <w:rPr>
          <w:rFonts w:ascii="Times New Roman" w:hAnsi="Times New Roman" w:cs="Times New Roman"/>
          <w:sz w:val="28"/>
          <w:szCs w:val="28"/>
        </w:rPr>
        <w:t>утвержденная п</w:t>
      </w:r>
      <w:r w:rsidRPr="00BA17D1">
        <w:rPr>
          <w:rFonts w:ascii="Times New Roman" w:hAnsi="Times New Roman" w:cs="Times New Roman"/>
          <w:sz w:val="28"/>
          <w:szCs w:val="28"/>
        </w:rPr>
        <w:t>остановление</w:t>
      </w:r>
      <w:r w:rsidR="00F142ED">
        <w:rPr>
          <w:rFonts w:ascii="Times New Roman" w:hAnsi="Times New Roman" w:cs="Times New Roman"/>
          <w:sz w:val="28"/>
          <w:szCs w:val="28"/>
        </w:rPr>
        <w:t>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Правительства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9D702F" w:rsidRPr="00BA17D1">
        <w:rPr>
          <w:rFonts w:ascii="Times New Roman" w:hAnsi="Times New Roman" w:cs="Times New Roman"/>
          <w:sz w:val="28"/>
          <w:szCs w:val="28"/>
        </w:rPr>
        <w:t>Республики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9D702F" w:rsidRPr="00BA17D1">
        <w:rPr>
          <w:rFonts w:ascii="Times New Roman" w:hAnsi="Times New Roman" w:cs="Times New Roman"/>
          <w:sz w:val="28"/>
          <w:szCs w:val="28"/>
        </w:rPr>
        <w:t>Северная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9D702F" w:rsidRPr="00BA17D1">
        <w:rPr>
          <w:rFonts w:ascii="Times New Roman" w:hAnsi="Times New Roman" w:cs="Times New Roman"/>
          <w:sz w:val="28"/>
          <w:szCs w:val="28"/>
        </w:rPr>
        <w:t>Осетия-Алания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16</w:t>
      </w:r>
      <w:r w:rsidR="00F142ED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Pr="00BA17D1">
        <w:rPr>
          <w:rFonts w:ascii="Times New Roman" w:hAnsi="Times New Roman" w:cs="Times New Roman"/>
          <w:sz w:val="28"/>
          <w:szCs w:val="28"/>
        </w:rPr>
        <w:t>10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F142ED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A17D1">
        <w:rPr>
          <w:rFonts w:ascii="Times New Roman" w:hAnsi="Times New Roman" w:cs="Times New Roman"/>
          <w:sz w:val="28"/>
          <w:szCs w:val="28"/>
        </w:rPr>
        <w:t>№</w:t>
      </w:r>
      <w:r w:rsidR="00F142ED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36</w:t>
      </w:r>
      <w:r w:rsidR="0028104E">
        <w:rPr>
          <w:rFonts w:ascii="Times New Roman" w:hAnsi="Times New Roman" w:cs="Times New Roman"/>
          <w:sz w:val="28"/>
          <w:szCs w:val="28"/>
        </w:rPr>
        <w:t xml:space="preserve"> (далее - Концепция)</w:t>
      </w:r>
      <w:r w:rsidRPr="00BA17D1">
        <w:rPr>
          <w:rFonts w:ascii="Times New Roman" w:hAnsi="Times New Roman" w:cs="Times New Roman"/>
          <w:sz w:val="28"/>
          <w:szCs w:val="28"/>
        </w:rPr>
        <w:t>.</w:t>
      </w:r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рамках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выполнения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мероприятий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Концепции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планомерно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осуществляется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внедрение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единой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государственной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системы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для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информационно-справочной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поддержки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граждан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организаций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вопросам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взаимодействия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органами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исполнительной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власти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органами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местного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самоуправления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использованием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сети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Интернет.</w:t>
      </w:r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Республика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Северная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Осетия-Алания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занимает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одно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из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лидирующих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мест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среди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субъектов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Российской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Федерации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уровню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телефонизации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населения.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Зона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покрытия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составляет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более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95%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республиканской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территории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числе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труднодоступные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горные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районы)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сигналом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3</w:t>
      </w:r>
      <w:r w:rsidRPr="00BA17D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порядка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75%.</w:t>
      </w:r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Общий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объем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оказанных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всеми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организациями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услуг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связи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F142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полугодие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2013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года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составил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</w:t>
      </w:r>
      <w:r w:rsidR="00F142ED">
        <w:rPr>
          <w:rFonts w:ascii="Times New Roman" w:hAnsi="Times New Roman" w:cs="Times New Roman"/>
          <w:sz w:val="28"/>
          <w:szCs w:val="28"/>
        </w:rPr>
        <w:t> </w:t>
      </w:r>
      <w:r w:rsidRPr="00BA17D1">
        <w:rPr>
          <w:rFonts w:ascii="Times New Roman" w:hAnsi="Times New Roman" w:cs="Times New Roman"/>
          <w:sz w:val="28"/>
          <w:szCs w:val="28"/>
        </w:rPr>
        <w:t>821,4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7D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4C688F">
        <w:rPr>
          <w:rFonts w:ascii="Times New Roman" w:hAnsi="Times New Roman" w:cs="Times New Roman"/>
          <w:sz w:val="28"/>
          <w:szCs w:val="28"/>
        </w:rPr>
        <w:t>рублей</w:t>
      </w:r>
      <w:r w:rsidRPr="00BA17D1">
        <w:rPr>
          <w:rFonts w:ascii="Times New Roman" w:hAnsi="Times New Roman" w:cs="Times New Roman"/>
          <w:sz w:val="28"/>
          <w:szCs w:val="28"/>
        </w:rPr>
        <w:t>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что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6,2%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больше,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чем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предыдущем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году.</w:t>
      </w:r>
    </w:p>
    <w:p w:rsidR="001E2925" w:rsidRPr="004A7EF9" w:rsidRDefault="001E2925" w:rsidP="00645B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F9">
        <w:rPr>
          <w:rFonts w:ascii="Times New Roman" w:hAnsi="Times New Roman" w:cs="Times New Roman"/>
          <w:sz w:val="28"/>
          <w:szCs w:val="28"/>
        </w:rPr>
        <w:t>На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территории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республики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действует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четыре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оператора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подвижной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сотовой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связи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с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клиентской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базой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свыше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970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тыс.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="00F142ED" w:rsidRPr="004A7EF9">
        <w:rPr>
          <w:rFonts w:ascii="Times New Roman" w:hAnsi="Times New Roman" w:cs="Times New Roman"/>
          <w:sz w:val="28"/>
          <w:szCs w:val="28"/>
        </w:rPr>
        <w:t>абонентов</w:t>
      </w:r>
      <w:r w:rsidR="004A7EF9" w:rsidRPr="004A7EF9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4A7EF9">
        <w:rPr>
          <w:rFonts w:ascii="Times New Roman" w:hAnsi="Times New Roman" w:cs="Times New Roman"/>
          <w:sz w:val="28"/>
          <w:szCs w:val="28"/>
        </w:rPr>
        <w:t>на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20,6%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больше</w:t>
      </w:r>
      <w:r w:rsidR="004A7EF9" w:rsidRPr="004A7EF9">
        <w:rPr>
          <w:rFonts w:ascii="Times New Roman" w:hAnsi="Times New Roman" w:cs="Times New Roman"/>
          <w:sz w:val="28"/>
          <w:szCs w:val="28"/>
        </w:rPr>
        <w:t>,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чем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в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прошлом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году.</w:t>
      </w:r>
    </w:p>
    <w:p w:rsidR="001E2925" w:rsidRPr="00BA17D1" w:rsidRDefault="001E2925" w:rsidP="00645B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EF9">
        <w:rPr>
          <w:rFonts w:ascii="Times New Roman" w:hAnsi="Times New Roman" w:cs="Times New Roman"/>
          <w:sz w:val="28"/>
          <w:szCs w:val="28"/>
        </w:rPr>
        <w:t>Доминирующее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положение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на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рынке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услуг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подвижной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радиотелефонной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связи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на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территории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республики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занимает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ОАО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«МТС»,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удельный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вес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оборота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которого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составляет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38,0%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от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общ</w:t>
      </w:r>
      <w:r w:rsidR="00D246EC">
        <w:rPr>
          <w:rFonts w:ascii="Times New Roman" w:hAnsi="Times New Roman" w:cs="Times New Roman"/>
          <w:sz w:val="28"/>
          <w:szCs w:val="28"/>
        </w:rPr>
        <w:t>его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объем</w:t>
      </w:r>
      <w:r w:rsidR="00D246EC">
        <w:rPr>
          <w:rFonts w:ascii="Times New Roman" w:hAnsi="Times New Roman" w:cs="Times New Roman"/>
          <w:sz w:val="28"/>
          <w:szCs w:val="28"/>
        </w:rPr>
        <w:t>а,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на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ОАО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«Мегафон»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приходится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33,5%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оборота,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на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ОАО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«ВымпелКом»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-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27,5%,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ЗАО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«Астарта»</w:t>
      </w:r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="00C24ABB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412D43" w:rsidRPr="004A7EF9">
        <w:rPr>
          <w:rFonts w:ascii="Times New Roman" w:hAnsi="Times New Roman" w:cs="Times New Roman"/>
          <w:sz w:val="28"/>
          <w:szCs w:val="28"/>
        </w:rPr>
        <w:t xml:space="preserve"> </w:t>
      </w:r>
      <w:r w:rsidRPr="004A7EF9">
        <w:rPr>
          <w:rFonts w:ascii="Times New Roman" w:hAnsi="Times New Roman" w:cs="Times New Roman"/>
          <w:sz w:val="28"/>
          <w:szCs w:val="28"/>
        </w:rPr>
        <w:t>1</w:t>
      </w:r>
      <w:r w:rsidR="004A7EF9">
        <w:rPr>
          <w:rFonts w:ascii="Times New Roman" w:hAnsi="Times New Roman" w:cs="Times New Roman"/>
          <w:sz w:val="28"/>
          <w:szCs w:val="28"/>
        </w:rPr>
        <w:t>,0</w:t>
      </w:r>
      <w:r w:rsidRPr="004A7EF9">
        <w:rPr>
          <w:rFonts w:ascii="Times New Roman" w:hAnsi="Times New Roman" w:cs="Times New Roman"/>
          <w:sz w:val="28"/>
          <w:szCs w:val="28"/>
        </w:rPr>
        <w:t>%.</w:t>
      </w:r>
    </w:p>
    <w:p w:rsidR="001E2925" w:rsidRPr="00BA17D1" w:rsidRDefault="001E2925" w:rsidP="00645BBA">
      <w:pPr>
        <w:pStyle w:val="BodyText21"/>
        <w:numPr>
          <w:ilvl w:val="12"/>
          <w:numId w:val="0"/>
        </w:numPr>
        <w:tabs>
          <w:tab w:val="left" w:pos="1620"/>
        </w:tabs>
        <w:ind w:firstLine="709"/>
        <w:rPr>
          <w:sz w:val="28"/>
          <w:szCs w:val="28"/>
        </w:rPr>
      </w:pPr>
      <w:r w:rsidRPr="004A7EF9">
        <w:rPr>
          <w:sz w:val="28"/>
          <w:szCs w:val="28"/>
        </w:rPr>
        <w:t>Существенную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позицию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по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оказанию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услуг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связи,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как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фиксированной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телефонной,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так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и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широкополосного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доступа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к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сети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Интернет,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занимает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Северо-Осетинский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филиал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ОАО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«Ростелеком»,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удельный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вес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которого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в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общем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объеме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услуг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связи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составляет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21,3%.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За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январь-</w:t>
      </w:r>
      <w:r w:rsidR="004A7EF9" w:rsidRPr="004A7EF9">
        <w:rPr>
          <w:sz w:val="28"/>
          <w:szCs w:val="28"/>
        </w:rPr>
        <w:t>июнь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2013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г</w:t>
      </w:r>
      <w:r w:rsidR="009D702F" w:rsidRPr="004A7EF9">
        <w:rPr>
          <w:sz w:val="28"/>
          <w:szCs w:val="28"/>
        </w:rPr>
        <w:t>ода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им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предоставлено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услуг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связи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на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сумму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599,8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млн</w:t>
      </w:r>
      <w:r w:rsidR="00412D43" w:rsidRPr="004A7EF9">
        <w:rPr>
          <w:sz w:val="28"/>
          <w:szCs w:val="28"/>
        </w:rPr>
        <w:t xml:space="preserve"> </w:t>
      </w:r>
      <w:r w:rsidR="004C688F" w:rsidRPr="004A7EF9">
        <w:rPr>
          <w:sz w:val="28"/>
          <w:szCs w:val="28"/>
        </w:rPr>
        <w:t>рублей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(100,6%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к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соответствующему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периоду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прошлого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года),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из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них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объем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услуг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связи,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предоставленный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населению,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составил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400,3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млн</w:t>
      </w:r>
      <w:r w:rsidR="00412D43" w:rsidRPr="004A7EF9">
        <w:rPr>
          <w:sz w:val="28"/>
          <w:szCs w:val="28"/>
        </w:rPr>
        <w:t xml:space="preserve"> </w:t>
      </w:r>
      <w:r w:rsidR="004C688F" w:rsidRPr="004A7EF9">
        <w:rPr>
          <w:sz w:val="28"/>
          <w:szCs w:val="28"/>
        </w:rPr>
        <w:t>рублей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(9</w:t>
      </w:r>
      <w:r w:rsidR="00D01C5C">
        <w:rPr>
          <w:sz w:val="28"/>
          <w:szCs w:val="28"/>
        </w:rPr>
        <w:t>4</w:t>
      </w:r>
      <w:r w:rsidRPr="004A7EF9">
        <w:rPr>
          <w:sz w:val="28"/>
          <w:szCs w:val="28"/>
        </w:rPr>
        <w:t>,</w:t>
      </w:r>
      <w:r w:rsidR="00D01C5C">
        <w:rPr>
          <w:sz w:val="28"/>
          <w:szCs w:val="28"/>
        </w:rPr>
        <w:t>3</w:t>
      </w:r>
      <w:r w:rsidRPr="004A7EF9">
        <w:rPr>
          <w:sz w:val="28"/>
          <w:szCs w:val="28"/>
        </w:rPr>
        <w:t>%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к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уровню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2012</w:t>
      </w:r>
      <w:r w:rsidR="00412D43" w:rsidRPr="004A7EF9">
        <w:rPr>
          <w:sz w:val="28"/>
          <w:szCs w:val="28"/>
        </w:rPr>
        <w:t xml:space="preserve"> </w:t>
      </w:r>
      <w:r w:rsidRPr="004A7EF9">
        <w:rPr>
          <w:sz w:val="28"/>
          <w:szCs w:val="28"/>
        </w:rPr>
        <w:t>года).</w:t>
      </w:r>
    </w:p>
    <w:p w:rsidR="001E2925" w:rsidRPr="00BA17D1" w:rsidRDefault="001E2925" w:rsidP="00645B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обеспеченности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населения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телефонной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связью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республика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по-прежнему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занимает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лидирующее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место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СКФО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bCs/>
          <w:sz w:val="28"/>
          <w:szCs w:val="28"/>
        </w:rPr>
        <w:t>26,5</w:t>
      </w:r>
      <w:r w:rsidR="00412D43" w:rsidRPr="00BA17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телефона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100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жителей.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25" w:rsidRPr="00BA17D1" w:rsidRDefault="001E2925" w:rsidP="00645B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За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745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полугодие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2013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года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республике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установлено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</w:t>
      </w:r>
      <w:r w:rsidR="00745FEF">
        <w:rPr>
          <w:rFonts w:ascii="Times New Roman" w:hAnsi="Times New Roman" w:cs="Times New Roman"/>
          <w:sz w:val="28"/>
          <w:szCs w:val="28"/>
        </w:rPr>
        <w:t> </w:t>
      </w:r>
      <w:r w:rsidRPr="00BA17D1">
        <w:rPr>
          <w:rFonts w:ascii="Times New Roman" w:hAnsi="Times New Roman" w:cs="Times New Roman"/>
          <w:sz w:val="28"/>
          <w:szCs w:val="28"/>
        </w:rPr>
        <w:t>320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телефонов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(111,1%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745FE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полугодию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2012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года),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числе: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ГТС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</w:t>
      </w:r>
      <w:r w:rsidR="00745FEF">
        <w:rPr>
          <w:rFonts w:ascii="Times New Roman" w:hAnsi="Times New Roman" w:cs="Times New Roman"/>
          <w:sz w:val="28"/>
          <w:szCs w:val="28"/>
        </w:rPr>
        <w:t> </w:t>
      </w:r>
      <w:r w:rsidRPr="00BA17D1">
        <w:rPr>
          <w:rFonts w:ascii="Times New Roman" w:hAnsi="Times New Roman" w:cs="Times New Roman"/>
          <w:sz w:val="28"/>
          <w:szCs w:val="28"/>
        </w:rPr>
        <w:t>824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телефона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(109,2%),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из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них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населению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</w:t>
      </w:r>
      <w:r w:rsidR="00745FEF">
        <w:rPr>
          <w:rFonts w:ascii="Times New Roman" w:hAnsi="Times New Roman" w:cs="Times New Roman"/>
          <w:sz w:val="28"/>
          <w:szCs w:val="28"/>
        </w:rPr>
        <w:t> </w:t>
      </w:r>
      <w:r w:rsidRPr="00BA17D1">
        <w:rPr>
          <w:rFonts w:ascii="Times New Roman" w:hAnsi="Times New Roman" w:cs="Times New Roman"/>
          <w:sz w:val="28"/>
          <w:szCs w:val="28"/>
        </w:rPr>
        <w:t>299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(99,6%);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СТС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496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(118,7%),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числе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населению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467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(121,9%).</w:t>
      </w:r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планах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всех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операторов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2013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год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заложены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средства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развитие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инфраструктуры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сотовой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связи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это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строительство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новых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базовых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станций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для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увеличения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зоны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покрытия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сотовой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7D1">
        <w:rPr>
          <w:rFonts w:ascii="Times New Roman" w:hAnsi="Times New Roman" w:cs="Times New Roman"/>
          <w:sz w:val="28"/>
          <w:szCs w:val="28"/>
        </w:rPr>
        <w:t>связью</w:t>
      </w:r>
      <w:proofErr w:type="gramEnd"/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как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открытой,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так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lastRenderedPageBreak/>
        <w:t>труднодоступной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горной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местности,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увеличение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зоны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покрытия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сигналом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3G.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925" w:rsidRPr="00BA17D1" w:rsidRDefault="001E2925" w:rsidP="00645BBA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Активно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растет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рынок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телефонии.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Развивается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сектор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услуг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обеспечению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высокоскоростного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доступа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сети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Интернет.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Количество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пользователей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состоянию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апреля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2013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года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составляет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свыше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400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тыс.,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числе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количество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пользователей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широкополосного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доступа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сети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28104E">
        <w:rPr>
          <w:rFonts w:ascii="Times New Roman" w:hAnsi="Times New Roman" w:cs="Times New Roman"/>
          <w:sz w:val="28"/>
          <w:szCs w:val="28"/>
        </w:rPr>
        <w:t>И</w:t>
      </w:r>
      <w:r w:rsidRPr="00BA17D1">
        <w:rPr>
          <w:rFonts w:ascii="Times New Roman" w:hAnsi="Times New Roman" w:cs="Times New Roman"/>
          <w:sz w:val="28"/>
          <w:szCs w:val="28"/>
        </w:rPr>
        <w:t>нтернет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89,7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тыс</w:t>
      </w:r>
      <w:r w:rsidR="009D702F" w:rsidRPr="00BA17D1">
        <w:rPr>
          <w:rFonts w:ascii="Times New Roman" w:hAnsi="Times New Roman" w:cs="Times New Roman"/>
          <w:sz w:val="28"/>
          <w:szCs w:val="28"/>
        </w:rPr>
        <w:t>.</w:t>
      </w:r>
      <w:r w:rsidR="00F13C01">
        <w:rPr>
          <w:rFonts w:ascii="Times New Roman" w:hAnsi="Times New Roman" w:cs="Times New Roman"/>
          <w:sz w:val="28"/>
          <w:szCs w:val="28"/>
        </w:rPr>
        <w:t xml:space="preserve"> абонентов</w:t>
      </w:r>
      <w:r w:rsidRPr="00BA17D1">
        <w:rPr>
          <w:rFonts w:ascii="Times New Roman" w:hAnsi="Times New Roman" w:cs="Times New Roman"/>
          <w:sz w:val="28"/>
          <w:szCs w:val="28"/>
        </w:rPr>
        <w:t>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мобильным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доступом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сети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28104E">
        <w:rPr>
          <w:rFonts w:ascii="Times New Roman" w:hAnsi="Times New Roman" w:cs="Times New Roman"/>
          <w:sz w:val="28"/>
          <w:szCs w:val="28"/>
        </w:rPr>
        <w:t>И</w:t>
      </w:r>
      <w:r w:rsidRPr="00BA17D1">
        <w:rPr>
          <w:rFonts w:ascii="Times New Roman" w:hAnsi="Times New Roman" w:cs="Times New Roman"/>
          <w:sz w:val="28"/>
          <w:szCs w:val="28"/>
        </w:rPr>
        <w:t>нтернет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(сигналом3</w:t>
      </w:r>
      <w:r w:rsidRPr="00BA17D1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A17D1">
        <w:rPr>
          <w:rFonts w:ascii="Times New Roman" w:hAnsi="Times New Roman" w:cs="Times New Roman"/>
          <w:sz w:val="28"/>
          <w:szCs w:val="28"/>
        </w:rPr>
        <w:t>)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пользуется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310,1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тыс.</w:t>
      </w:r>
      <w:r w:rsidR="00F13C01">
        <w:rPr>
          <w:rFonts w:ascii="Times New Roman" w:hAnsi="Times New Roman" w:cs="Times New Roman"/>
          <w:sz w:val="28"/>
          <w:szCs w:val="28"/>
        </w:rPr>
        <w:t xml:space="preserve"> абонентов. </w:t>
      </w:r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условиях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острой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конкуренции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услуги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7D1">
        <w:rPr>
          <w:rFonts w:ascii="Times New Roman" w:hAnsi="Times New Roman" w:cs="Times New Roman"/>
          <w:sz w:val="28"/>
          <w:szCs w:val="28"/>
        </w:rPr>
        <w:t>широкополостного</w:t>
      </w:r>
      <w:proofErr w:type="spellEnd"/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доступа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сети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28104E">
        <w:rPr>
          <w:rFonts w:ascii="Times New Roman" w:hAnsi="Times New Roman" w:cs="Times New Roman"/>
          <w:sz w:val="28"/>
          <w:szCs w:val="28"/>
        </w:rPr>
        <w:t>И</w:t>
      </w:r>
      <w:r w:rsidRPr="00BA17D1">
        <w:rPr>
          <w:rFonts w:ascii="Times New Roman" w:hAnsi="Times New Roman" w:cs="Times New Roman"/>
          <w:sz w:val="28"/>
          <w:szCs w:val="28"/>
        </w:rPr>
        <w:t>нтернет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территории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республики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предоставляют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4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оператора: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филиал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ОАО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«Ростелеком»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(52,3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тыс.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пользователей,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прирост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составил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2,2%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сравнению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прошлым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годом),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ООО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«ТВИНГО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телеком»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(18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тыс.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пользователей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4,6%),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ООО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A17D1">
        <w:rPr>
          <w:rFonts w:ascii="Times New Roman" w:hAnsi="Times New Roman" w:cs="Times New Roman"/>
          <w:sz w:val="28"/>
          <w:szCs w:val="28"/>
        </w:rPr>
        <w:t>Иртелком</w:t>
      </w:r>
      <w:proofErr w:type="spellEnd"/>
      <w:r w:rsidRPr="00BA17D1">
        <w:rPr>
          <w:rFonts w:ascii="Times New Roman" w:hAnsi="Times New Roman" w:cs="Times New Roman"/>
          <w:sz w:val="28"/>
          <w:szCs w:val="28"/>
        </w:rPr>
        <w:t>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(19,0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тыс.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пользователей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-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9%),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ООО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«Телеком-Алания»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(400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пользователей).</w:t>
      </w:r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Услугами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почтовой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связи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охвачена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вся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территория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республики.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Северо-Осетинский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филиал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28104E">
        <w:rPr>
          <w:rFonts w:ascii="Times New Roman" w:hAnsi="Times New Roman" w:cs="Times New Roman"/>
          <w:sz w:val="28"/>
          <w:szCs w:val="28"/>
        </w:rPr>
        <w:t>«</w:t>
      </w:r>
      <w:r w:rsidRPr="00BA17D1">
        <w:rPr>
          <w:rFonts w:ascii="Times New Roman" w:hAnsi="Times New Roman" w:cs="Times New Roman"/>
          <w:sz w:val="28"/>
          <w:szCs w:val="28"/>
        </w:rPr>
        <w:t>Почты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России</w:t>
      </w:r>
      <w:r w:rsidR="0028104E">
        <w:rPr>
          <w:rFonts w:ascii="Times New Roman" w:hAnsi="Times New Roman" w:cs="Times New Roman"/>
          <w:sz w:val="28"/>
          <w:szCs w:val="28"/>
        </w:rPr>
        <w:t>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занимает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1-е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место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рейтинге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регионов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СКФО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17-е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место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0B3EA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A17D1">
        <w:rPr>
          <w:rFonts w:ascii="Times New Roman" w:hAnsi="Times New Roman" w:cs="Times New Roman"/>
          <w:sz w:val="28"/>
          <w:szCs w:val="28"/>
        </w:rPr>
        <w:t>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настоящее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время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составе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Северо-Осетинского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филиала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ФГУП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«Почта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России»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5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почтамтов,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из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которых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3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F13C01">
        <w:rPr>
          <w:rFonts w:ascii="Times New Roman" w:hAnsi="Times New Roman" w:cs="Times New Roman"/>
          <w:sz w:val="28"/>
          <w:szCs w:val="28"/>
        </w:rPr>
        <w:t>–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межрайонные,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="00F13C0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A17D1">
        <w:rPr>
          <w:rFonts w:ascii="Times New Roman" w:hAnsi="Times New Roman" w:cs="Times New Roman"/>
          <w:sz w:val="28"/>
          <w:szCs w:val="28"/>
        </w:rPr>
        <w:t>171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отделение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почтовой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связи.</w:t>
      </w:r>
      <w:proofErr w:type="gramEnd"/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Радиотелевизионный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передающий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центр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Республики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Северная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Осетия-Алания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обеспечивает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территории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республики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общедоступность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информационного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пространства.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Трансляция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телерадиопрограмм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территории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республики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осуществляется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посредством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140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телевизионных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радиовещательных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приемопередающих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станций,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числе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62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спутниковыми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станциями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приема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цифровых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сигналов.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эксплуатационно-техническом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обслуживании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находится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40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антенно-мачтовых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сооружений,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размещенных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объектах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филиала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всей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республике.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Северная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Осетия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одна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из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первых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запустила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цифровое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вещание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Юге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страны.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конца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2013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года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вся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территория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республики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будет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покрыта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цифровым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телевизионным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сигналом,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что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особо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актуально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для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районов,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которые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такой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сигнал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ряду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технических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причин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настоящее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время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подается.</w:t>
      </w:r>
    </w:p>
    <w:p w:rsidR="001E2925" w:rsidRPr="00BA17D1" w:rsidRDefault="001E2925" w:rsidP="00645B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7D1">
        <w:rPr>
          <w:rFonts w:ascii="Times New Roman" w:hAnsi="Times New Roman" w:cs="Times New Roman"/>
          <w:sz w:val="28"/>
          <w:szCs w:val="28"/>
        </w:rPr>
        <w:t>Вместе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тем,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несмотря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положительную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динамику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развития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отрасли</w:t>
      </w:r>
      <w:r w:rsidR="00273A02">
        <w:rPr>
          <w:rFonts w:ascii="Times New Roman" w:hAnsi="Times New Roman" w:cs="Times New Roman"/>
          <w:sz w:val="28"/>
          <w:szCs w:val="28"/>
        </w:rPr>
        <w:t>, с</w:t>
      </w:r>
      <w:r w:rsidRPr="00BA17D1">
        <w:rPr>
          <w:rFonts w:ascii="Times New Roman" w:hAnsi="Times New Roman" w:cs="Times New Roman"/>
          <w:sz w:val="28"/>
          <w:szCs w:val="28"/>
        </w:rPr>
        <w:t>охраняется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дифференциация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качестве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оказания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услуг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между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городским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сельским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уровнем.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сфере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телерадиовещания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основными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проблемами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являются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физический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износ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до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аварийного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состояния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основной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республиканской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17D1">
        <w:rPr>
          <w:rFonts w:ascii="Times New Roman" w:hAnsi="Times New Roman" w:cs="Times New Roman"/>
          <w:sz w:val="28"/>
          <w:szCs w:val="28"/>
        </w:rPr>
        <w:t>телерадиотрансляционной</w:t>
      </w:r>
      <w:proofErr w:type="spellEnd"/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мачты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необеспеченность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ряда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горных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районов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системами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ретрансляции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государственных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теле-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и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  <w:r w:rsidRPr="00BA17D1">
        <w:rPr>
          <w:rFonts w:ascii="Times New Roman" w:hAnsi="Times New Roman" w:cs="Times New Roman"/>
          <w:sz w:val="28"/>
          <w:szCs w:val="28"/>
        </w:rPr>
        <w:t>радиопрограмм.</w:t>
      </w:r>
      <w:r w:rsidR="00412D43" w:rsidRPr="00BA1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864" w:rsidRPr="00151C6C" w:rsidRDefault="006E7864" w:rsidP="00645BBA">
      <w:pPr>
        <w:pStyle w:val="ConsPlusNormal"/>
        <w:widowControl w:val="0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51C6C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sectPr w:rsidR="006E7864" w:rsidRPr="00151C6C" w:rsidSect="00C516B3"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06" w:rsidRDefault="009D0B06" w:rsidP="00CC3160">
      <w:pPr>
        <w:spacing w:after="0" w:line="240" w:lineRule="auto"/>
      </w:pPr>
      <w:r>
        <w:separator/>
      </w:r>
    </w:p>
  </w:endnote>
  <w:endnote w:type="continuationSeparator" w:id="0">
    <w:p w:rsidR="009D0B06" w:rsidRDefault="009D0B06" w:rsidP="00C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06" w:rsidRDefault="009D0B06" w:rsidP="00CC3160">
      <w:pPr>
        <w:spacing w:after="0" w:line="240" w:lineRule="auto"/>
      </w:pPr>
      <w:r>
        <w:separator/>
      </w:r>
    </w:p>
  </w:footnote>
  <w:footnote w:type="continuationSeparator" w:id="0">
    <w:p w:rsidR="009D0B06" w:rsidRDefault="009D0B06" w:rsidP="00CC31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Batang" w:hAnsi="Times New Roman" w:cs="Times New Roman"/>
        <w:sz w:val="28"/>
        <w:szCs w:val="28"/>
      </w:rPr>
      <w:id w:val="-1986613270"/>
      <w:docPartObj>
        <w:docPartGallery w:val="Page Numbers (Top of Page)"/>
        <w:docPartUnique/>
      </w:docPartObj>
    </w:sdtPr>
    <w:sdtEndPr/>
    <w:sdtContent>
      <w:p w:rsidR="00151C6C" w:rsidRPr="003614E1" w:rsidRDefault="00151C6C">
        <w:pPr>
          <w:pStyle w:val="a3"/>
          <w:jc w:val="center"/>
          <w:rPr>
            <w:rFonts w:ascii="Times New Roman" w:eastAsia="Batang" w:hAnsi="Times New Roman" w:cs="Times New Roman"/>
            <w:sz w:val="28"/>
            <w:szCs w:val="28"/>
          </w:rPr>
        </w:pP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begin"/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instrText>PAGE   \* MERGEFORMAT</w:instrTex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separate"/>
        </w:r>
        <w:r w:rsidR="00C24ABB">
          <w:rPr>
            <w:rFonts w:ascii="Times New Roman" w:eastAsia="Batang" w:hAnsi="Times New Roman" w:cs="Times New Roman"/>
            <w:noProof/>
            <w:sz w:val="28"/>
            <w:szCs w:val="28"/>
          </w:rPr>
          <w:t>2</w:t>
        </w:r>
        <w:r w:rsidRPr="003614E1">
          <w:rPr>
            <w:rFonts w:ascii="Times New Roman" w:eastAsia="Batang" w:hAnsi="Times New Roman" w:cs="Times New Roman"/>
            <w:sz w:val="28"/>
            <w:szCs w:val="28"/>
          </w:rPr>
          <w:fldChar w:fldCharType="end"/>
        </w:r>
      </w:p>
    </w:sdtContent>
  </w:sdt>
  <w:p w:rsidR="00151C6C" w:rsidRDefault="00151C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B8"/>
    <w:rsid w:val="000070D5"/>
    <w:rsid w:val="00015DBA"/>
    <w:rsid w:val="0001613C"/>
    <w:rsid w:val="00016D61"/>
    <w:rsid w:val="00022E07"/>
    <w:rsid w:val="0002587C"/>
    <w:rsid w:val="00034753"/>
    <w:rsid w:val="00034B10"/>
    <w:rsid w:val="00036096"/>
    <w:rsid w:val="00051073"/>
    <w:rsid w:val="0005408E"/>
    <w:rsid w:val="000546DE"/>
    <w:rsid w:val="00062A35"/>
    <w:rsid w:val="000768C6"/>
    <w:rsid w:val="0008652A"/>
    <w:rsid w:val="000B2FAD"/>
    <w:rsid w:val="000B3EAB"/>
    <w:rsid w:val="000B5332"/>
    <w:rsid w:val="000B7800"/>
    <w:rsid w:val="000C478F"/>
    <w:rsid w:val="000E05B5"/>
    <w:rsid w:val="000E1EB3"/>
    <w:rsid w:val="000E2E6A"/>
    <w:rsid w:val="000F4CA1"/>
    <w:rsid w:val="000F7150"/>
    <w:rsid w:val="000F7EC7"/>
    <w:rsid w:val="001119AA"/>
    <w:rsid w:val="00113263"/>
    <w:rsid w:val="00117339"/>
    <w:rsid w:val="00117EE3"/>
    <w:rsid w:val="00122C59"/>
    <w:rsid w:val="00127F7C"/>
    <w:rsid w:val="00140177"/>
    <w:rsid w:val="00151C6C"/>
    <w:rsid w:val="0015303A"/>
    <w:rsid w:val="00154875"/>
    <w:rsid w:val="00157962"/>
    <w:rsid w:val="00171AEE"/>
    <w:rsid w:val="0017641C"/>
    <w:rsid w:val="001949DA"/>
    <w:rsid w:val="00195A3B"/>
    <w:rsid w:val="001A0A95"/>
    <w:rsid w:val="001B0AB8"/>
    <w:rsid w:val="001B5723"/>
    <w:rsid w:val="001C58A4"/>
    <w:rsid w:val="001C734D"/>
    <w:rsid w:val="001D4ECE"/>
    <w:rsid w:val="001E2925"/>
    <w:rsid w:val="001E4A45"/>
    <w:rsid w:val="001F47CD"/>
    <w:rsid w:val="001F59E9"/>
    <w:rsid w:val="001F70AD"/>
    <w:rsid w:val="00200932"/>
    <w:rsid w:val="00205580"/>
    <w:rsid w:val="002326FD"/>
    <w:rsid w:val="002369B4"/>
    <w:rsid w:val="0024098B"/>
    <w:rsid w:val="00273A02"/>
    <w:rsid w:val="00273FF6"/>
    <w:rsid w:val="0028104E"/>
    <w:rsid w:val="00294423"/>
    <w:rsid w:val="002A6E69"/>
    <w:rsid w:val="002B4737"/>
    <w:rsid w:val="002B5349"/>
    <w:rsid w:val="002C5723"/>
    <w:rsid w:val="002D5073"/>
    <w:rsid w:val="002E2EB9"/>
    <w:rsid w:val="002F19E6"/>
    <w:rsid w:val="003055C5"/>
    <w:rsid w:val="00313A93"/>
    <w:rsid w:val="00314737"/>
    <w:rsid w:val="00323515"/>
    <w:rsid w:val="003276C6"/>
    <w:rsid w:val="003379FA"/>
    <w:rsid w:val="003614E1"/>
    <w:rsid w:val="00380ECE"/>
    <w:rsid w:val="00383F8C"/>
    <w:rsid w:val="003A40AB"/>
    <w:rsid w:val="003B16D4"/>
    <w:rsid w:val="003B3B5C"/>
    <w:rsid w:val="003B5B95"/>
    <w:rsid w:val="003E4D14"/>
    <w:rsid w:val="003F0841"/>
    <w:rsid w:val="003F36A2"/>
    <w:rsid w:val="00406112"/>
    <w:rsid w:val="00412D43"/>
    <w:rsid w:val="00412DD5"/>
    <w:rsid w:val="00421013"/>
    <w:rsid w:val="00421D99"/>
    <w:rsid w:val="00426AE6"/>
    <w:rsid w:val="004319A6"/>
    <w:rsid w:val="00432D06"/>
    <w:rsid w:val="0043539E"/>
    <w:rsid w:val="00435928"/>
    <w:rsid w:val="00437A0A"/>
    <w:rsid w:val="004635FD"/>
    <w:rsid w:val="004644CB"/>
    <w:rsid w:val="00477D5D"/>
    <w:rsid w:val="00483299"/>
    <w:rsid w:val="004953D8"/>
    <w:rsid w:val="004A7EF9"/>
    <w:rsid w:val="004C1097"/>
    <w:rsid w:val="004C688F"/>
    <w:rsid w:val="004C7FBC"/>
    <w:rsid w:val="004E27B2"/>
    <w:rsid w:val="004E284C"/>
    <w:rsid w:val="004E7958"/>
    <w:rsid w:val="00504626"/>
    <w:rsid w:val="00504C53"/>
    <w:rsid w:val="00505E9A"/>
    <w:rsid w:val="0051401F"/>
    <w:rsid w:val="0051419C"/>
    <w:rsid w:val="00523EB9"/>
    <w:rsid w:val="0052504A"/>
    <w:rsid w:val="0052624E"/>
    <w:rsid w:val="0053018B"/>
    <w:rsid w:val="00535089"/>
    <w:rsid w:val="005368BD"/>
    <w:rsid w:val="00546052"/>
    <w:rsid w:val="005465F8"/>
    <w:rsid w:val="0055099C"/>
    <w:rsid w:val="00561AE5"/>
    <w:rsid w:val="0056226B"/>
    <w:rsid w:val="00567B80"/>
    <w:rsid w:val="00570019"/>
    <w:rsid w:val="005816A3"/>
    <w:rsid w:val="00581C75"/>
    <w:rsid w:val="00585935"/>
    <w:rsid w:val="005A64C2"/>
    <w:rsid w:val="005B547B"/>
    <w:rsid w:val="005B6DC0"/>
    <w:rsid w:val="005C33F8"/>
    <w:rsid w:val="005C3D3F"/>
    <w:rsid w:val="005C7EA5"/>
    <w:rsid w:val="005E5BB9"/>
    <w:rsid w:val="005F28FC"/>
    <w:rsid w:val="005F4228"/>
    <w:rsid w:val="006148E6"/>
    <w:rsid w:val="00614F6D"/>
    <w:rsid w:val="006153FC"/>
    <w:rsid w:val="00620748"/>
    <w:rsid w:val="006219E4"/>
    <w:rsid w:val="0063540F"/>
    <w:rsid w:val="00635C0D"/>
    <w:rsid w:val="00636740"/>
    <w:rsid w:val="00645BBA"/>
    <w:rsid w:val="00656548"/>
    <w:rsid w:val="00664D30"/>
    <w:rsid w:val="006657B0"/>
    <w:rsid w:val="00665FF7"/>
    <w:rsid w:val="00673DC1"/>
    <w:rsid w:val="006761E5"/>
    <w:rsid w:val="006763E9"/>
    <w:rsid w:val="006764DF"/>
    <w:rsid w:val="00677E4F"/>
    <w:rsid w:val="006A1D05"/>
    <w:rsid w:val="006B042F"/>
    <w:rsid w:val="006C413A"/>
    <w:rsid w:val="006C647C"/>
    <w:rsid w:val="006C7E87"/>
    <w:rsid w:val="006D11C1"/>
    <w:rsid w:val="006D5084"/>
    <w:rsid w:val="006E3269"/>
    <w:rsid w:val="006E7864"/>
    <w:rsid w:val="006F6596"/>
    <w:rsid w:val="00706DE8"/>
    <w:rsid w:val="007152DE"/>
    <w:rsid w:val="007220A7"/>
    <w:rsid w:val="007300F4"/>
    <w:rsid w:val="00744CE4"/>
    <w:rsid w:val="00745FEF"/>
    <w:rsid w:val="00750FC8"/>
    <w:rsid w:val="00780D66"/>
    <w:rsid w:val="00792353"/>
    <w:rsid w:val="00796EB0"/>
    <w:rsid w:val="007C0ADE"/>
    <w:rsid w:val="007D3BD1"/>
    <w:rsid w:val="007E1603"/>
    <w:rsid w:val="00807671"/>
    <w:rsid w:val="008117AE"/>
    <w:rsid w:val="008137CB"/>
    <w:rsid w:val="00814883"/>
    <w:rsid w:val="00831B0E"/>
    <w:rsid w:val="008420C4"/>
    <w:rsid w:val="00852213"/>
    <w:rsid w:val="0086015E"/>
    <w:rsid w:val="00861BA8"/>
    <w:rsid w:val="008720E4"/>
    <w:rsid w:val="00874FD6"/>
    <w:rsid w:val="0088021B"/>
    <w:rsid w:val="008836C7"/>
    <w:rsid w:val="008860E4"/>
    <w:rsid w:val="00891C00"/>
    <w:rsid w:val="008A3833"/>
    <w:rsid w:val="008A433C"/>
    <w:rsid w:val="008B2C28"/>
    <w:rsid w:val="008B4D21"/>
    <w:rsid w:val="008B4FB3"/>
    <w:rsid w:val="008C1208"/>
    <w:rsid w:val="008C47DD"/>
    <w:rsid w:val="008C7447"/>
    <w:rsid w:val="008E4BC7"/>
    <w:rsid w:val="00934E34"/>
    <w:rsid w:val="00934FA2"/>
    <w:rsid w:val="00944568"/>
    <w:rsid w:val="00973F22"/>
    <w:rsid w:val="00975406"/>
    <w:rsid w:val="009871BA"/>
    <w:rsid w:val="009947E7"/>
    <w:rsid w:val="009A4213"/>
    <w:rsid w:val="009A4298"/>
    <w:rsid w:val="009B6166"/>
    <w:rsid w:val="009C53AA"/>
    <w:rsid w:val="009D0B06"/>
    <w:rsid w:val="009D1ECE"/>
    <w:rsid w:val="009D388F"/>
    <w:rsid w:val="009D4F34"/>
    <w:rsid w:val="009D702F"/>
    <w:rsid w:val="009D7DF9"/>
    <w:rsid w:val="009E30C6"/>
    <w:rsid w:val="00A046E8"/>
    <w:rsid w:val="00A24A01"/>
    <w:rsid w:val="00A33906"/>
    <w:rsid w:val="00A34D4A"/>
    <w:rsid w:val="00A5047F"/>
    <w:rsid w:val="00A73DCD"/>
    <w:rsid w:val="00A825B9"/>
    <w:rsid w:val="00AA3670"/>
    <w:rsid w:val="00AA6395"/>
    <w:rsid w:val="00AB7F99"/>
    <w:rsid w:val="00AC303A"/>
    <w:rsid w:val="00AF2CF7"/>
    <w:rsid w:val="00B003A8"/>
    <w:rsid w:val="00B178CA"/>
    <w:rsid w:val="00B33B8D"/>
    <w:rsid w:val="00B40EDB"/>
    <w:rsid w:val="00B631D2"/>
    <w:rsid w:val="00B6416C"/>
    <w:rsid w:val="00B64D7C"/>
    <w:rsid w:val="00B65600"/>
    <w:rsid w:val="00B66798"/>
    <w:rsid w:val="00B66C2D"/>
    <w:rsid w:val="00B70CE9"/>
    <w:rsid w:val="00B7344D"/>
    <w:rsid w:val="00B95BF2"/>
    <w:rsid w:val="00B95C6D"/>
    <w:rsid w:val="00BA17D1"/>
    <w:rsid w:val="00BB4F83"/>
    <w:rsid w:val="00BC325F"/>
    <w:rsid w:val="00BC7B0C"/>
    <w:rsid w:val="00BD5815"/>
    <w:rsid w:val="00BD7320"/>
    <w:rsid w:val="00BE20B5"/>
    <w:rsid w:val="00BE313B"/>
    <w:rsid w:val="00BF6F95"/>
    <w:rsid w:val="00C04249"/>
    <w:rsid w:val="00C1142B"/>
    <w:rsid w:val="00C20E5B"/>
    <w:rsid w:val="00C24ABB"/>
    <w:rsid w:val="00C27C2C"/>
    <w:rsid w:val="00C30368"/>
    <w:rsid w:val="00C34A45"/>
    <w:rsid w:val="00C36ED1"/>
    <w:rsid w:val="00C40268"/>
    <w:rsid w:val="00C4105C"/>
    <w:rsid w:val="00C461EA"/>
    <w:rsid w:val="00C516B3"/>
    <w:rsid w:val="00C93CCA"/>
    <w:rsid w:val="00C940D1"/>
    <w:rsid w:val="00CA007D"/>
    <w:rsid w:val="00CB28E2"/>
    <w:rsid w:val="00CB39B0"/>
    <w:rsid w:val="00CC3160"/>
    <w:rsid w:val="00CD3FA0"/>
    <w:rsid w:val="00CD57B4"/>
    <w:rsid w:val="00CD7178"/>
    <w:rsid w:val="00CD733A"/>
    <w:rsid w:val="00CE4077"/>
    <w:rsid w:val="00CF5574"/>
    <w:rsid w:val="00CF6411"/>
    <w:rsid w:val="00D01C5C"/>
    <w:rsid w:val="00D206F5"/>
    <w:rsid w:val="00D21CD1"/>
    <w:rsid w:val="00D246EC"/>
    <w:rsid w:val="00D43942"/>
    <w:rsid w:val="00D47724"/>
    <w:rsid w:val="00D51874"/>
    <w:rsid w:val="00D56244"/>
    <w:rsid w:val="00D6510F"/>
    <w:rsid w:val="00D72193"/>
    <w:rsid w:val="00D855D1"/>
    <w:rsid w:val="00DA62EF"/>
    <w:rsid w:val="00DB239D"/>
    <w:rsid w:val="00DB264C"/>
    <w:rsid w:val="00DC1D92"/>
    <w:rsid w:val="00DC2CCF"/>
    <w:rsid w:val="00DD13EA"/>
    <w:rsid w:val="00DD1B34"/>
    <w:rsid w:val="00DD4C56"/>
    <w:rsid w:val="00DD5258"/>
    <w:rsid w:val="00DE3EF2"/>
    <w:rsid w:val="00DE7167"/>
    <w:rsid w:val="00E01645"/>
    <w:rsid w:val="00E02A72"/>
    <w:rsid w:val="00E04C4E"/>
    <w:rsid w:val="00E06FDA"/>
    <w:rsid w:val="00E126ED"/>
    <w:rsid w:val="00E1339C"/>
    <w:rsid w:val="00E1612F"/>
    <w:rsid w:val="00E2561A"/>
    <w:rsid w:val="00E342A9"/>
    <w:rsid w:val="00E448EC"/>
    <w:rsid w:val="00E44D38"/>
    <w:rsid w:val="00E46D8F"/>
    <w:rsid w:val="00E62FA6"/>
    <w:rsid w:val="00E7740E"/>
    <w:rsid w:val="00EA2A73"/>
    <w:rsid w:val="00EE741A"/>
    <w:rsid w:val="00EF7983"/>
    <w:rsid w:val="00F00ED3"/>
    <w:rsid w:val="00F01F4F"/>
    <w:rsid w:val="00F13C01"/>
    <w:rsid w:val="00F142ED"/>
    <w:rsid w:val="00F23598"/>
    <w:rsid w:val="00F27B63"/>
    <w:rsid w:val="00F27C44"/>
    <w:rsid w:val="00F369A7"/>
    <w:rsid w:val="00F51648"/>
    <w:rsid w:val="00F51BE3"/>
    <w:rsid w:val="00F57E74"/>
    <w:rsid w:val="00F73C77"/>
    <w:rsid w:val="00F8010F"/>
    <w:rsid w:val="00F94DF2"/>
    <w:rsid w:val="00FB4EB8"/>
    <w:rsid w:val="00FB4EEA"/>
    <w:rsid w:val="00FC7D14"/>
    <w:rsid w:val="00FD296D"/>
    <w:rsid w:val="00FE2911"/>
    <w:rsid w:val="00FE350B"/>
    <w:rsid w:val="00FE7839"/>
    <w:rsid w:val="00FF117C"/>
    <w:rsid w:val="00FF1CEB"/>
    <w:rsid w:val="00FF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link w:val="af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21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qFormat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1E2925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rsid w:val="001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A34D4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1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1B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D1B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160"/>
  </w:style>
  <w:style w:type="paragraph" w:styleId="a5">
    <w:name w:val="footer"/>
    <w:basedOn w:val="a"/>
    <w:link w:val="a6"/>
    <w:uiPriority w:val="99"/>
    <w:unhideWhenUsed/>
    <w:rsid w:val="00CC3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160"/>
  </w:style>
  <w:style w:type="character" w:customStyle="1" w:styleId="50">
    <w:name w:val="Заголовок 5 Знак"/>
    <w:basedOn w:val="a0"/>
    <w:link w:val="5"/>
    <w:rsid w:val="00DD1B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DD1B3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ody Text"/>
    <w:basedOn w:val="a"/>
    <w:link w:val="a8"/>
    <w:rsid w:val="00DD1B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DD1B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Title"/>
    <w:basedOn w:val="a"/>
    <w:link w:val="aa"/>
    <w:qFormat/>
    <w:rsid w:val="00DD1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D1B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D1B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D1B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"/>
    <w:basedOn w:val="a"/>
    <w:rsid w:val="00DD1B3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DD1B3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DD1B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D1B3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1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1B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sonormalcxspmiddle">
    <w:name w:val="msonormalcxspmiddle"/>
    <w:basedOn w:val="a"/>
    <w:rsid w:val="0012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127F7C"/>
    <w:rPr>
      <w:rFonts w:ascii="Times New Roman" w:hAnsi="Times New Roman" w:cs="Times New Roman" w:hint="default"/>
      <w:spacing w:val="20"/>
      <w:sz w:val="28"/>
    </w:rPr>
  </w:style>
  <w:style w:type="paragraph" w:styleId="ac">
    <w:name w:val="Subtitle"/>
    <w:basedOn w:val="a"/>
    <w:link w:val="ad"/>
    <w:qFormat/>
    <w:rsid w:val="0088021B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8802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 Spacing"/>
    <w:link w:val="af"/>
    <w:qFormat/>
    <w:rsid w:val="000F4CA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E44D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C042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C0424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Стиль1"/>
    <w:basedOn w:val="a"/>
    <w:rsid w:val="00C04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"/>
    <w:rsid w:val="00C04249"/>
    <w:pPr>
      <w:widowControl w:val="0"/>
      <w:tabs>
        <w:tab w:val="left" w:pos="-17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5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5221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qFormat/>
    <w:rsid w:val="00F73C7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rsid w:val="001E2925"/>
    <w:rPr>
      <w:rFonts w:ascii="Times New Roman" w:eastAsia="Calibri" w:hAnsi="Times New Roman" w:cs="Times New Roman"/>
      <w:sz w:val="28"/>
    </w:rPr>
  </w:style>
  <w:style w:type="paragraph" w:styleId="af5">
    <w:name w:val="Normal (Web)"/>
    <w:basedOn w:val="a"/>
    <w:rsid w:val="001E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A34D4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57901-702F-474D-8EC8-C26641C2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Сергей</cp:lastModifiedBy>
  <cp:revision>20</cp:revision>
  <cp:lastPrinted>2013-08-16T12:32:00Z</cp:lastPrinted>
  <dcterms:created xsi:type="dcterms:W3CDTF">2013-08-13T11:52:00Z</dcterms:created>
  <dcterms:modified xsi:type="dcterms:W3CDTF">2013-09-23T11:15:00Z</dcterms:modified>
</cp:coreProperties>
</file>